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3C49" w14:textId="77777777" w:rsidR="00515389" w:rsidRDefault="00515389" w:rsidP="008B7046">
      <w:pPr>
        <w:spacing w:after="177"/>
        <w:jc w:val="center"/>
        <w:rPr>
          <w:rFonts w:asciiTheme="minorHAnsi" w:eastAsia="Arial" w:hAnsiTheme="minorHAnsi" w:cstheme="minorHAnsi"/>
          <w:b/>
          <w:sz w:val="28"/>
          <w:szCs w:val="28"/>
        </w:rPr>
      </w:pPr>
    </w:p>
    <w:p w14:paraId="0316B281" w14:textId="0F5B6AD7" w:rsidR="008B7046" w:rsidRPr="008B7046" w:rsidRDefault="00FA5229" w:rsidP="008B7046">
      <w:pPr>
        <w:spacing w:after="177"/>
        <w:jc w:val="center"/>
        <w:rPr>
          <w:rFonts w:asciiTheme="minorHAnsi" w:eastAsia="Arial" w:hAnsiTheme="minorHAnsi" w:cstheme="minorHAnsi"/>
          <w:b/>
          <w:sz w:val="28"/>
          <w:szCs w:val="28"/>
        </w:rPr>
      </w:pPr>
      <w:r w:rsidRPr="008B7046">
        <w:rPr>
          <w:rFonts w:asciiTheme="minorHAnsi" w:eastAsia="Arial" w:hAnsiTheme="minorHAnsi" w:cstheme="minorHAnsi"/>
          <w:b/>
          <w:sz w:val="28"/>
          <w:szCs w:val="28"/>
        </w:rPr>
        <w:t xml:space="preserve">IPPF is building a roster of safeguarding and </w:t>
      </w:r>
      <w:r w:rsidR="00515389">
        <w:rPr>
          <w:rFonts w:asciiTheme="minorHAnsi" w:eastAsia="Arial" w:hAnsiTheme="minorHAnsi" w:cstheme="minorHAnsi"/>
          <w:b/>
          <w:sz w:val="28"/>
          <w:szCs w:val="28"/>
        </w:rPr>
        <w:t xml:space="preserve">HR </w:t>
      </w:r>
      <w:r w:rsidRPr="008B7046">
        <w:rPr>
          <w:rFonts w:asciiTheme="minorHAnsi" w:eastAsia="Arial" w:hAnsiTheme="minorHAnsi" w:cstheme="minorHAnsi"/>
          <w:b/>
          <w:sz w:val="28"/>
          <w:szCs w:val="28"/>
        </w:rPr>
        <w:t>i</w:t>
      </w:r>
      <w:r w:rsidR="00BD6710" w:rsidRPr="008B7046">
        <w:rPr>
          <w:rFonts w:asciiTheme="minorHAnsi" w:eastAsia="Arial" w:hAnsiTheme="minorHAnsi" w:cstheme="minorHAnsi"/>
          <w:b/>
          <w:sz w:val="28"/>
          <w:szCs w:val="28"/>
        </w:rPr>
        <w:t>nvestigator</w:t>
      </w:r>
      <w:r w:rsidRPr="008B7046">
        <w:rPr>
          <w:rFonts w:asciiTheme="minorHAnsi" w:eastAsia="Arial" w:hAnsiTheme="minorHAnsi" w:cstheme="minorHAnsi"/>
          <w:b/>
          <w:sz w:val="28"/>
          <w:szCs w:val="28"/>
        </w:rPr>
        <w:t>s</w:t>
      </w:r>
    </w:p>
    <w:p w14:paraId="60F5B335" w14:textId="68B8B368" w:rsidR="0064489E" w:rsidRPr="00515389" w:rsidRDefault="008B7046" w:rsidP="008B7046">
      <w:pPr>
        <w:spacing w:after="177"/>
        <w:rPr>
          <w:rFonts w:asciiTheme="minorHAnsi" w:eastAsia="Arial" w:hAnsiTheme="minorHAnsi" w:cstheme="minorHAnsi"/>
          <w:bCs/>
          <w:sz w:val="24"/>
          <w:szCs w:val="24"/>
        </w:rPr>
      </w:pPr>
      <w:r>
        <w:rPr>
          <w:rFonts w:asciiTheme="minorHAnsi" w:eastAsia="Arial" w:hAnsiTheme="minorHAnsi" w:cstheme="minorHAnsi"/>
          <w:bCs/>
          <w:sz w:val="24"/>
          <w:szCs w:val="24"/>
        </w:rPr>
        <w:t xml:space="preserve">We are looking for CHS Alliance or equivalent trained, seasoned investigators able to take on HR and safeguarding investigations. If you would like to join our roster, read through the Terms of Reference below and submit an application that </w:t>
      </w:r>
      <w:r w:rsidR="00BD6710" w:rsidRPr="008B7046">
        <w:rPr>
          <w:rFonts w:asciiTheme="minorHAnsi" w:eastAsia="Arial" w:hAnsiTheme="minorHAnsi" w:cstheme="minorHAnsi"/>
        </w:rPr>
        <w:t xml:space="preserve">address the requirements requested at Section 7.  </w:t>
      </w:r>
      <w:r>
        <w:rPr>
          <w:rFonts w:asciiTheme="minorHAnsi" w:eastAsia="Arial" w:hAnsiTheme="minorHAnsi" w:cstheme="minorHAnsi"/>
          <w:b/>
          <w:bCs/>
        </w:rPr>
        <w:t>Closing date 18 December 2023</w:t>
      </w:r>
    </w:p>
    <w:tbl>
      <w:tblPr>
        <w:tblStyle w:val="TableGrid"/>
        <w:tblW w:w="9921" w:type="dxa"/>
        <w:tblInd w:w="5" w:type="dxa"/>
        <w:tblLayout w:type="fixed"/>
        <w:tblCellMar>
          <w:top w:w="55" w:type="dxa"/>
          <w:left w:w="73" w:type="dxa"/>
          <w:right w:w="115" w:type="dxa"/>
        </w:tblCellMar>
        <w:tblLook w:val="04A0" w:firstRow="1" w:lastRow="0" w:firstColumn="1" w:lastColumn="0" w:noHBand="0" w:noVBand="1"/>
      </w:tblPr>
      <w:tblGrid>
        <w:gridCol w:w="1970"/>
        <w:gridCol w:w="450"/>
        <w:gridCol w:w="7501"/>
      </w:tblGrid>
      <w:tr w:rsidR="0064489E" w:rsidRPr="00FA5229" w14:paraId="78DAE86E" w14:textId="77777777" w:rsidTr="00515389">
        <w:trPr>
          <w:trHeight w:val="5803"/>
        </w:trPr>
        <w:tc>
          <w:tcPr>
            <w:tcW w:w="1970" w:type="dxa"/>
            <w:tcBorders>
              <w:top w:val="single" w:sz="4" w:space="0" w:color="000000"/>
              <w:left w:val="single" w:sz="4" w:space="0" w:color="000000"/>
              <w:bottom w:val="single" w:sz="4" w:space="0" w:color="000000"/>
              <w:right w:val="single" w:sz="4" w:space="0" w:color="000000"/>
            </w:tcBorders>
          </w:tcPr>
          <w:p w14:paraId="4CE8ECFE" w14:textId="170DC628" w:rsidR="0064489E" w:rsidRPr="008B7046" w:rsidRDefault="00BD6710">
            <w:pPr>
              <w:ind w:left="114"/>
              <w:rPr>
                <w:rFonts w:asciiTheme="minorHAnsi" w:hAnsiTheme="minorHAnsi" w:cstheme="minorHAnsi"/>
                <w:sz w:val="24"/>
                <w:szCs w:val="24"/>
              </w:rPr>
            </w:pPr>
            <w:r w:rsidRPr="008B7046">
              <w:rPr>
                <w:rFonts w:asciiTheme="minorHAnsi" w:eastAsia="Arial" w:hAnsiTheme="minorHAnsi" w:cstheme="minorHAnsi"/>
                <w:b/>
                <w:sz w:val="24"/>
                <w:szCs w:val="24"/>
              </w:rPr>
              <w:t>1.Background</w:t>
            </w:r>
          </w:p>
        </w:tc>
        <w:tc>
          <w:tcPr>
            <w:tcW w:w="7951" w:type="dxa"/>
            <w:gridSpan w:val="2"/>
            <w:tcBorders>
              <w:top w:val="single" w:sz="4" w:space="0" w:color="000000"/>
              <w:left w:val="single" w:sz="4" w:space="0" w:color="000000"/>
              <w:bottom w:val="single" w:sz="4" w:space="0" w:color="000000"/>
              <w:right w:val="single" w:sz="4" w:space="0" w:color="000000"/>
            </w:tcBorders>
          </w:tcPr>
          <w:p w14:paraId="1ED8A5F7" w14:textId="77777777" w:rsidR="0064489E" w:rsidRPr="00BD1E4C" w:rsidRDefault="00BD6710">
            <w:pPr>
              <w:spacing w:after="213"/>
              <w:ind w:left="42"/>
              <w:rPr>
                <w:rFonts w:asciiTheme="minorHAnsi" w:hAnsiTheme="minorHAnsi" w:cstheme="minorHAnsi"/>
                <w:b/>
                <w:bCs/>
              </w:rPr>
            </w:pPr>
            <w:r w:rsidRPr="00BD1E4C">
              <w:rPr>
                <w:rFonts w:asciiTheme="minorHAnsi" w:eastAsia="Arial" w:hAnsiTheme="minorHAnsi" w:cstheme="minorHAnsi"/>
                <w:b/>
                <w:bCs/>
                <w:u w:val="single" w:color="000000"/>
              </w:rPr>
              <w:t>Overview of IPPF</w:t>
            </w:r>
            <w:r w:rsidRPr="00BD1E4C">
              <w:rPr>
                <w:rFonts w:asciiTheme="minorHAnsi" w:eastAsia="Arial" w:hAnsiTheme="minorHAnsi" w:cstheme="minorHAnsi"/>
                <w:b/>
                <w:bCs/>
              </w:rPr>
              <w:t xml:space="preserve"> </w:t>
            </w:r>
          </w:p>
          <w:p w14:paraId="7863B876" w14:textId="77777777" w:rsidR="0064489E" w:rsidRPr="00FA5229" w:rsidRDefault="00BD6710">
            <w:pPr>
              <w:spacing w:after="227" w:line="242" w:lineRule="auto"/>
              <w:ind w:left="42"/>
              <w:rPr>
                <w:rFonts w:asciiTheme="minorHAnsi" w:hAnsiTheme="minorHAnsi" w:cstheme="minorHAnsi"/>
              </w:rPr>
            </w:pPr>
            <w:r w:rsidRPr="00FA5229">
              <w:rPr>
                <w:rFonts w:asciiTheme="minorHAnsi" w:eastAsia="Arial" w:hAnsiTheme="minorHAnsi" w:cstheme="minorHAnsi"/>
              </w:rPr>
              <w:t xml:space="preserve">IPPF is a global service provider and a leader advocate of sexual and reproductive health and rights (SRHR) for all. IPPF provides SRHR services in 172 countries and runs approximately 65,000 service points worldwide. It seeks influence governments and other key decision-making bodies make policy and legislative changes that support or defend SRHR. IPPF also conducts a range of education, awareness and empowerment programmes that supports its key mandate of SRHR for all. </w:t>
            </w:r>
          </w:p>
          <w:p w14:paraId="24A88EDD" w14:textId="485ABDE5" w:rsidR="0064489E" w:rsidRPr="00FA5229" w:rsidRDefault="00BD6710">
            <w:pPr>
              <w:spacing w:after="256" w:line="241" w:lineRule="auto"/>
              <w:ind w:left="42"/>
              <w:rPr>
                <w:rFonts w:asciiTheme="minorHAnsi" w:hAnsiTheme="minorHAnsi" w:cstheme="minorHAnsi"/>
              </w:rPr>
            </w:pPr>
            <w:r w:rsidRPr="00FA5229">
              <w:rPr>
                <w:rFonts w:asciiTheme="minorHAnsi" w:eastAsia="Arial" w:hAnsiTheme="minorHAnsi" w:cstheme="minorHAnsi"/>
              </w:rPr>
              <w:t xml:space="preserve">The work of IPPF is overseen by its Board of Trustees and is structured through the IPPF Secretariat comprising a London office and six Regional Offices working out of </w:t>
            </w:r>
            <w:r w:rsidR="00FA5229" w:rsidRPr="00FA5229">
              <w:rPr>
                <w:rFonts w:asciiTheme="minorHAnsi" w:eastAsia="Arial" w:hAnsiTheme="minorHAnsi" w:cstheme="minorHAnsi"/>
              </w:rPr>
              <w:t xml:space="preserve">six </w:t>
            </w:r>
            <w:r w:rsidRPr="00FA5229">
              <w:rPr>
                <w:rFonts w:asciiTheme="minorHAnsi" w:eastAsia="Arial" w:hAnsiTheme="minorHAnsi" w:cstheme="minorHAnsi"/>
              </w:rPr>
              <w:t xml:space="preserve">locations: </w:t>
            </w:r>
          </w:p>
          <w:p w14:paraId="717D81D5" w14:textId="77777777" w:rsidR="0064489E" w:rsidRPr="00FA5229" w:rsidRDefault="00BD6710">
            <w:pPr>
              <w:numPr>
                <w:ilvl w:val="0"/>
                <w:numId w:val="1"/>
              </w:numPr>
              <w:ind w:hanging="288"/>
              <w:rPr>
                <w:rFonts w:asciiTheme="minorHAnsi" w:hAnsiTheme="minorHAnsi" w:cstheme="minorHAnsi"/>
              </w:rPr>
            </w:pPr>
            <w:r w:rsidRPr="00FA5229">
              <w:rPr>
                <w:rFonts w:asciiTheme="minorHAnsi" w:eastAsia="Arial" w:hAnsiTheme="minorHAnsi" w:cstheme="minorHAnsi"/>
              </w:rPr>
              <w:t>Africa (Nairobi)</w:t>
            </w:r>
          </w:p>
          <w:p w14:paraId="76EAC881" w14:textId="77777777" w:rsidR="0064489E" w:rsidRPr="00FA5229" w:rsidRDefault="00BD6710">
            <w:pPr>
              <w:numPr>
                <w:ilvl w:val="0"/>
                <w:numId w:val="1"/>
              </w:numPr>
              <w:ind w:hanging="288"/>
              <w:rPr>
                <w:rFonts w:asciiTheme="minorHAnsi" w:hAnsiTheme="minorHAnsi" w:cstheme="minorHAnsi"/>
              </w:rPr>
            </w:pPr>
            <w:r w:rsidRPr="00FA5229">
              <w:rPr>
                <w:rFonts w:asciiTheme="minorHAnsi" w:eastAsia="Arial" w:hAnsiTheme="minorHAnsi" w:cstheme="minorHAnsi"/>
              </w:rPr>
              <w:t>Arab World (Tunis)</w:t>
            </w:r>
          </w:p>
          <w:p w14:paraId="281AEE15" w14:textId="77777777" w:rsidR="0064489E" w:rsidRPr="00FA5229" w:rsidRDefault="00BD6710">
            <w:pPr>
              <w:numPr>
                <w:ilvl w:val="0"/>
                <w:numId w:val="1"/>
              </w:numPr>
              <w:ind w:hanging="288"/>
              <w:rPr>
                <w:rFonts w:asciiTheme="minorHAnsi" w:hAnsiTheme="minorHAnsi" w:cstheme="minorHAnsi"/>
              </w:rPr>
            </w:pPr>
            <w:r w:rsidRPr="00FA5229">
              <w:rPr>
                <w:rFonts w:asciiTheme="minorHAnsi" w:eastAsia="Arial" w:hAnsiTheme="minorHAnsi" w:cstheme="minorHAnsi"/>
              </w:rPr>
              <w:t>East and Southeast Asia and Oceania (Kuala Lumpur)</w:t>
            </w:r>
          </w:p>
          <w:p w14:paraId="2C2C60CA" w14:textId="77777777" w:rsidR="0064489E" w:rsidRPr="00FA5229" w:rsidRDefault="00BD6710">
            <w:pPr>
              <w:numPr>
                <w:ilvl w:val="0"/>
                <w:numId w:val="1"/>
              </w:numPr>
              <w:ind w:hanging="288"/>
              <w:rPr>
                <w:rFonts w:asciiTheme="minorHAnsi" w:hAnsiTheme="minorHAnsi" w:cstheme="minorHAnsi"/>
              </w:rPr>
            </w:pPr>
            <w:r w:rsidRPr="00FA5229">
              <w:rPr>
                <w:rFonts w:asciiTheme="minorHAnsi" w:eastAsia="Arial" w:hAnsiTheme="minorHAnsi" w:cstheme="minorHAnsi"/>
              </w:rPr>
              <w:t>European Network (Brussels)</w:t>
            </w:r>
          </w:p>
          <w:p w14:paraId="3D89F1F6" w14:textId="77777777" w:rsidR="0064489E" w:rsidRPr="00FA5229" w:rsidRDefault="00BD6710">
            <w:pPr>
              <w:numPr>
                <w:ilvl w:val="0"/>
                <w:numId w:val="1"/>
              </w:numPr>
              <w:ind w:hanging="288"/>
              <w:rPr>
                <w:rFonts w:asciiTheme="minorHAnsi" w:hAnsiTheme="minorHAnsi" w:cstheme="minorHAnsi"/>
              </w:rPr>
            </w:pPr>
            <w:r w:rsidRPr="00FA5229">
              <w:rPr>
                <w:rFonts w:asciiTheme="minorHAnsi" w:eastAsia="Arial" w:hAnsiTheme="minorHAnsi" w:cstheme="minorHAnsi"/>
              </w:rPr>
              <w:t>South Asia (Bangkok hub and Delhi sub-office)</w:t>
            </w:r>
          </w:p>
          <w:p w14:paraId="70143644" w14:textId="1574818A" w:rsidR="0064489E" w:rsidRPr="00FA5229" w:rsidRDefault="00BD6710">
            <w:pPr>
              <w:numPr>
                <w:ilvl w:val="0"/>
                <w:numId w:val="1"/>
              </w:numPr>
              <w:spacing w:after="172"/>
              <w:ind w:hanging="288"/>
              <w:rPr>
                <w:rFonts w:asciiTheme="minorHAnsi" w:hAnsiTheme="minorHAnsi" w:cstheme="minorHAnsi"/>
              </w:rPr>
            </w:pPr>
            <w:r w:rsidRPr="00FA5229">
              <w:rPr>
                <w:rFonts w:asciiTheme="minorHAnsi" w:eastAsia="Arial" w:hAnsiTheme="minorHAnsi" w:cstheme="minorHAnsi"/>
              </w:rPr>
              <w:t>Americas and the Caribbean (Panama</w:t>
            </w:r>
            <w:r w:rsidR="00515389">
              <w:rPr>
                <w:rFonts w:asciiTheme="minorHAnsi" w:eastAsia="Arial" w:hAnsiTheme="minorHAnsi" w:cstheme="minorHAnsi"/>
              </w:rPr>
              <w:t xml:space="preserve">, </w:t>
            </w:r>
            <w:r w:rsidRPr="00FA5229">
              <w:rPr>
                <w:rFonts w:asciiTheme="minorHAnsi" w:eastAsia="Arial" w:hAnsiTheme="minorHAnsi" w:cstheme="minorHAnsi"/>
              </w:rPr>
              <w:t>Colombia and Trinidad)</w:t>
            </w:r>
          </w:p>
          <w:p w14:paraId="45D78A21" w14:textId="19356835" w:rsidR="005D20C7" w:rsidRPr="00BD1E4C" w:rsidRDefault="00BD6710" w:rsidP="00BD1E4C">
            <w:pPr>
              <w:spacing w:after="233" w:line="241" w:lineRule="auto"/>
              <w:ind w:left="42"/>
              <w:rPr>
                <w:rFonts w:asciiTheme="minorHAnsi" w:eastAsia="Arial" w:hAnsiTheme="minorHAnsi" w:cstheme="minorHAnsi"/>
              </w:rPr>
            </w:pPr>
            <w:r w:rsidRPr="00FA5229">
              <w:rPr>
                <w:rFonts w:asciiTheme="minorHAnsi" w:eastAsia="Arial" w:hAnsiTheme="minorHAnsi" w:cstheme="minorHAnsi"/>
              </w:rPr>
              <w:t xml:space="preserve">Each Regional Office oversees, promotes, and distributes core funds to Member Associations (MAs) in the region. </w:t>
            </w:r>
          </w:p>
        </w:tc>
      </w:tr>
      <w:tr w:rsidR="0064489E" w:rsidRPr="00FA5229" w14:paraId="448CB1E2" w14:textId="77777777" w:rsidTr="008B7046">
        <w:trPr>
          <w:trHeight w:val="367"/>
        </w:trPr>
        <w:tc>
          <w:tcPr>
            <w:tcW w:w="1970" w:type="dxa"/>
            <w:tcBorders>
              <w:top w:val="single" w:sz="4" w:space="0" w:color="000000"/>
              <w:left w:val="single" w:sz="4" w:space="0" w:color="000000"/>
              <w:bottom w:val="single" w:sz="4" w:space="0" w:color="000000"/>
              <w:right w:val="single" w:sz="4" w:space="0" w:color="000000"/>
            </w:tcBorders>
          </w:tcPr>
          <w:p w14:paraId="0113B901" w14:textId="325B3EEA" w:rsidR="0064489E" w:rsidRPr="008B7046" w:rsidRDefault="00BD6710">
            <w:pPr>
              <w:ind w:left="114"/>
              <w:rPr>
                <w:rFonts w:asciiTheme="minorHAnsi" w:hAnsiTheme="minorHAnsi" w:cstheme="minorHAnsi"/>
                <w:sz w:val="24"/>
                <w:szCs w:val="24"/>
              </w:rPr>
            </w:pPr>
            <w:r w:rsidRPr="008B7046">
              <w:rPr>
                <w:rFonts w:asciiTheme="minorHAnsi" w:eastAsia="Arial" w:hAnsiTheme="minorHAnsi" w:cstheme="minorHAnsi"/>
                <w:b/>
                <w:sz w:val="24"/>
                <w:szCs w:val="24"/>
              </w:rPr>
              <w:t>2.</w:t>
            </w:r>
            <w:r w:rsidR="00FA5229" w:rsidRPr="008B7046">
              <w:rPr>
                <w:rFonts w:asciiTheme="minorHAnsi" w:eastAsia="Arial" w:hAnsiTheme="minorHAnsi" w:cstheme="minorHAnsi"/>
                <w:b/>
                <w:sz w:val="24"/>
                <w:szCs w:val="24"/>
              </w:rPr>
              <w:t>Engagement</w:t>
            </w:r>
            <w:r w:rsidR="005D20C7" w:rsidRPr="008B7046">
              <w:rPr>
                <w:rFonts w:asciiTheme="minorHAnsi" w:eastAsia="Arial" w:hAnsiTheme="minorHAnsi" w:cstheme="minorHAnsi"/>
                <w:b/>
                <w:sz w:val="24"/>
                <w:szCs w:val="24"/>
              </w:rPr>
              <w:t xml:space="preserve"> Overview </w:t>
            </w:r>
          </w:p>
        </w:tc>
        <w:tc>
          <w:tcPr>
            <w:tcW w:w="7951" w:type="dxa"/>
            <w:gridSpan w:val="2"/>
            <w:tcBorders>
              <w:top w:val="single" w:sz="4" w:space="0" w:color="000000"/>
              <w:left w:val="single" w:sz="4" w:space="0" w:color="000000"/>
              <w:bottom w:val="single" w:sz="4" w:space="0" w:color="000000"/>
              <w:right w:val="single" w:sz="4" w:space="0" w:color="000000"/>
            </w:tcBorders>
          </w:tcPr>
          <w:p w14:paraId="7E64C428" w14:textId="77777777" w:rsidR="00FA5229" w:rsidRPr="00FA5229" w:rsidRDefault="00FA5229" w:rsidP="00FA5229">
            <w:pPr>
              <w:spacing w:after="90"/>
              <w:ind w:left="42"/>
              <w:rPr>
                <w:rFonts w:asciiTheme="minorHAnsi" w:hAnsiTheme="minorHAnsi" w:cstheme="minorHAnsi"/>
                <w:b/>
                <w:bCs/>
              </w:rPr>
            </w:pPr>
            <w:r w:rsidRPr="00FA5229">
              <w:rPr>
                <w:rFonts w:asciiTheme="minorHAnsi" w:eastAsia="Arial" w:hAnsiTheme="minorHAnsi" w:cstheme="minorHAnsi"/>
                <w:b/>
                <w:bCs/>
                <w:u w:val="single" w:color="000000"/>
              </w:rPr>
              <w:t>Overview of the engagement</w:t>
            </w:r>
            <w:r w:rsidRPr="00FA5229">
              <w:rPr>
                <w:rFonts w:asciiTheme="minorHAnsi" w:eastAsia="Arial" w:hAnsiTheme="minorHAnsi" w:cstheme="minorHAnsi"/>
                <w:b/>
                <w:bCs/>
              </w:rPr>
              <w:t xml:space="preserve"> </w:t>
            </w:r>
          </w:p>
          <w:p w14:paraId="2961CCA9" w14:textId="680E6485" w:rsidR="00FA5229" w:rsidRPr="00FA5229" w:rsidRDefault="00FA5229" w:rsidP="00FA5229">
            <w:pPr>
              <w:spacing w:line="252" w:lineRule="auto"/>
              <w:ind w:left="12"/>
              <w:rPr>
                <w:rFonts w:asciiTheme="minorHAnsi" w:eastAsia="Arial" w:hAnsiTheme="minorHAnsi" w:cstheme="minorHAnsi"/>
              </w:rPr>
            </w:pPr>
            <w:r w:rsidRPr="00FA5229">
              <w:rPr>
                <w:rFonts w:asciiTheme="minorHAnsi" w:eastAsia="Arial" w:hAnsiTheme="minorHAnsi" w:cstheme="minorHAnsi"/>
              </w:rPr>
              <w:t xml:space="preserve">IPPF is inviting </w:t>
            </w:r>
            <w:r w:rsidR="00515389">
              <w:rPr>
                <w:rFonts w:asciiTheme="minorHAnsi" w:eastAsia="Arial" w:hAnsiTheme="minorHAnsi" w:cstheme="minorHAnsi"/>
              </w:rPr>
              <w:t xml:space="preserve">applications from </w:t>
            </w:r>
            <w:r w:rsidRPr="00FA5229">
              <w:rPr>
                <w:rFonts w:asciiTheme="minorHAnsi" w:eastAsia="Arial" w:hAnsiTheme="minorHAnsi" w:cstheme="minorHAnsi"/>
              </w:rPr>
              <w:t>consultants, or consultancy firms with demonstrable experience in conducting safeguarding</w:t>
            </w:r>
            <w:r w:rsidR="00515389">
              <w:rPr>
                <w:rFonts w:asciiTheme="minorHAnsi" w:eastAsia="Arial" w:hAnsiTheme="minorHAnsi" w:cstheme="minorHAnsi"/>
              </w:rPr>
              <w:t xml:space="preserve"> investigations in respect of </w:t>
            </w:r>
            <w:r w:rsidRPr="00FA5229">
              <w:rPr>
                <w:rFonts w:asciiTheme="minorHAnsi" w:eastAsia="Arial" w:hAnsiTheme="minorHAnsi" w:cstheme="minorHAnsi"/>
              </w:rPr>
              <w:t>abuse, sexual abuse, sexual exploitation</w:t>
            </w:r>
            <w:r w:rsidR="00515389">
              <w:rPr>
                <w:rFonts w:asciiTheme="minorHAnsi" w:eastAsia="Arial" w:hAnsiTheme="minorHAnsi" w:cstheme="minorHAnsi"/>
              </w:rPr>
              <w:t xml:space="preserve"> and workplace related </w:t>
            </w:r>
            <w:r w:rsidRPr="00FA5229">
              <w:rPr>
                <w:rFonts w:asciiTheme="minorHAnsi" w:eastAsia="Arial" w:hAnsiTheme="minorHAnsi" w:cstheme="minorHAnsi"/>
              </w:rPr>
              <w:t>sexual harassment</w:t>
            </w:r>
            <w:r w:rsidR="006175A1">
              <w:rPr>
                <w:rFonts w:asciiTheme="minorHAnsi" w:eastAsia="Arial" w:hAnsiTheme="minorHAnsi" w:cstheme="minorHAnsi"/>
              </w:rPr>
              <w:t>, non sexual harassment,</w:t>
            </w:r>
            <w:r w:rsidRPr="00FA5229">
              <w:rPr>
                <w:rFonts w:asciiTheme="minorHAnsi" w:eastAsia="Arial" w:hAnsiTheme="minorHAnsi" w:cstheme="minorHAnsi"/>
              </w:rPr>
              <w:t xml:space="preserve"> bullying</w:t>
            </w:r>
            <w:r w:rsidR="00515389">
              <w:rPr>
                <w:rFonts w:asciiTheme="minorHAnsi" w:eastAsia="Arial" w:hAnsiTheme="minorHAnsi" w:cstheme="minorHAnsi"/>
              </w:rPr>
              <w:t xml:space="preserve"> and</w:t>
            </w:r>
            <w:r w:rsidRPr="00FA5229">
              <w:rPr>
                <w:rFonts w:asciiTheme="minorHAnsi" w:eastAsia="Arial" w:hAnsiTheme="minorHAnsi" w:cstheme="minorHAnsi"/>
              </w:rPr>
              <w:t xml:space="preserve"> victimisation.</w:t>
            </w:r>
          </w:p>
          <w:p w14:paraId="7AC623AB" w14:textId="374D3E75" w:rsidR="00FA5229" w:rsidRPr="00FA5229" w:rsidRDefault="00FA5229" w:rsidP="00FA5229">
            <w:pPr>
              <w:spacing w:line="120" w:lineRule="auto"/>
              <w:ind w:left="14"/>
              <w:rPr>
                <w:rFonts w:asciiTheme="minorHAnsi" w:hAnsiTheme="minorHAnsi" w:cstheme="minorHAnsi"/>
              </w:rPr>
            </w:pPr>
            <w:r w:rsidRPr="00FA5229">
              <w:rPr>
                <w:rFonts w:asciiTheme="minorHAnsi" w:eastAsia="Arial" w:hAnsiTheme="minorHAnsi" w:cstheme="minorHAnsi"/>
              </w:rPr>
              <w:t xml:space="preserve"> </w:t>
            </w:r>
          </w:p>
          <w:p w14:paraId="1E53621E" w14:textId="6CBBA836" w:rsidR="00FA5229" w:rsidRPr="00FA5229" w:rsidRDefault="00FA5229" w:rsidP="00FA5229">
            <w:pPr>
              <w:spacing w:line="241" w:lineRule="auto"/>
              <w:rPr>
                <w:rFonts w:asciiTheme="minorHAnsi" w:hAnsiTheme="minorHAnsi" w:cstheme="minorHAnsi"/>
              </w:rPr>
            </w:pPr>
            <w:r w:rsidRPr="00FA5229">
              <w:rPr>
                <w:rFonts w:asciiTheme="minorHAnsi" w:eastAsia="Arial" w:hAnsiTheme="minorHAnsi" w:cstheme="minorHAnsi"/>
              </w:rPr>
              <w:t xml:space="preserve">Successful consultants will be included on the IPPF roster for an initial period of </w:t>
            </w:r>
            <w:r w:rsidR="008B7046" w:rsidRPr="00FA5229">
              <w:rPr>
                <w:rFonts w:asciiTheme="minorHAnsi" w:eastAsia="Arial" w:hAnsiTheme="minorHAnsi" w:cstheme="minorHAnsi"/>
              </w:rPr>
              <w:t>12 months</w:t>
            </w:r>
            <w:r w:rsidRPr="00FA5229">
              <w:rPr>
                <w:rFonts w:asciiTheme="minorHAnsi" w:eastAsia="Arial" w:hAnsiTheme="minorHAnsi" w:cstheme="minorHAnsi"/>
              </w:rPr>
              <w:t xml:space="preserve">, with the option to extend depending on performance and availability. </w:t>
            </w:r>
          </w:p>
          <w:p w14:paraId="7FE7CA46" w14:textId="010BE70F" w:rsidR="00FA5229" w:rsidRPr="00FA5229" w:rsidRDefault="00FA5229" w:rsidP="00FA5229">
            <w:pPr>
              <w:spacing w:line="255" w:lineRule="auto"/>
              <w:ind w:left="21" w:right="43" w:hanging="21"/>
              <w:rPr>
                <w:rFonts w:asciiTheme="minorHAnsi" w:eastAsia="Arial" w:hAnsiTheme="minorHAnsi" w:cstheme="minorHAnsi"/>
              </w:rPr>
            </w:pPr>
            <w:r w:rsidRPr="00FA5229">
              <w:rPr>
                <w:rFonts w:asciiTheme="minorHAnsi" w:eastAsia="Arial" w:hAnsiTheme="minorHAnsi" w:cstheme="minorHAnsi"/>
              </w:rPr>
              <w:t>Consultants on the roster will not be guaranteed work or payment but will be given the first opportunity to bid or be offered specific pieces of work.</w:t>
            </w:r>
            <w:r w:rsidR="00BD1E4C">
              <w:t xml:space="preserve"> </w:t>
            </w:r>
            <w:r w:rsidR="00BD1E4C" w:rsidRPr="00BD1E4C">
              <w:rPr>
                <w:rFonts w:asciiTheme="minorHAnsi" w:eastAsia="Arial" w:hAnsiTheme="minorHAnsi" w:cstheme="minorHAnsi"/>
              </w:rPr>
              <w:t>Work may be undertaken in any of the IPPF regions.</w:t>
            </w:r>
          </w:p>
          <w:p w14:paraId="7A47D42A" w14:textId="77777777" w:rsidR="00FA5229" w:rsidRPr="00FA5229" w:rsidRDefault="00FA5229" w:rsidP="00FA5229">
            <w:pPr>
              <w:spacing w:line="120" w:lineRule="auto"/>
              <w:ind w:left="14" w:right="43" w:hanging="14"/>
              <w:rPr>
                <w:rFonts w:asciiTheme="minorHAnsi" w:eastAsia="Arial" w:hAnsiTheme="minorHAnsi" w:cstheme="minorHAnsi"/>
              </w:rPr>
            </w:pPr>
          </w:p>
          <w:p w14:paraId="30A34F76" w14:textId="6D3F4E80" w:rsidR="00FA5229" w:rsidRPr="00FA5229" w:rsidRDefault="00FA5229" w:rsidP="008B7046">
            <w:pPr>
              <w:rPr>
                <w:rFonts w:asciiTheme="minorHAnsi" w:hAnsiTheme="minorHAnsi" w:cstheme="minorHAnsi"/>
              </w:rPr>
            </w:pPr>
            <w:r w:rsidRPr="00FA5229">
              <w:rPr>
                <w:rFonts w:asciiTheme="minorHAnsi" w:hAnsiTheme="minorHAnsi" w:cstheme="minorHAnsi"/>
              </w:rPr>
              <w:t>To undertake a highly confidential, victim/reporter-centred investigation</w:t>
            </w:r>
            <w:r w:rsidR="008B7046">
              <w:rPr>
                <w:rFonts w:asciiTheme="minorHAnsi" w:hAnsiTheme="minorHAnsi" w:cstheme="minorHAnsi"/>
              </w:rPr>
              <w:t xml:space="preserve">s on a </w:t>
            </w:r>
            <w:r w:rsidR="00BD1E4C">
              <w:rPr>
                <w:rFonts w:asciiTheme="minorHAnsi" w:hAnsiTheme="minorHAnsi" w:cstheme="minorHAnsi"/>
              </w:rPr>
              <w:t>case-by-case</w:t>
            </w:r>
            <w:r w:rsidR="008B7046">
              <w:rPr>
                <w:rFonts w:asciiTheme="minorHAnsi" w:hAnsiTheme="minorHAnsi" w:cstheme="minorHAnsi"/>
              </w:rPr>
              <w:t xml:space="preserve"> basis</w:t>
            </w:r>
            <w:r w:rsidRPr="00FA5229">
              <w:rPr>
                <w:rFonts w:asciiTheme="minorHAnsi" w:hAnsiTheme="minorHAnsi" w:cstheme="minorHAnsi"/>
              </w:rPr>
              <w:t>, meeting CHS Alliance standards of investigation and based on organisational policies and procedures.</w:t>
            </w:r>
          </w:p>
          <w:p w14:paraId="042C339E" w14:textId="77777777" w:rsidR="00FA5229" w:rsidRPr="00FA5229" w:rsidRDefault="00FA5229" w:rsidP="00FA5229">
            <w:pPr>
              <w:tabs>
                <w:tab w:val="center" w:pos="419"/>
                <w:tab w:val="center" w:pos="1554"/>
              </w:tabs>
              <w:spacing w:line="120" w:lineRule="auto"/>
              <w:rPr>
                <w:rFonts w:asciiTheme="minorHAnsi" w:hAnsiTheme="minorHAnsi" w:cstheme="minorHAnsi"/>
                <w:b/>
                <w:bCs/>
                <w:u w:val="single" w:color="000000"/>
              </w:rPr>
            </w:pPr>
          </w:p>
          <w:p w14:paraId="2EC4EE65" w14:textId="77777777" w:rsidR="00FA5229" w:rsidRPr="00BD1E4C" w:rsidRDefault="00FA5229" w:rsidP="00BD1E4C">
            <w:pPr>
              <w:spacing w:after="90"/>
              <w:ind w:left="42"/>
              <w:rPr>
                <w:rFonts w:asciiTheme="minorHAnsi" w:eastAsia="Arial" w:hAnsiTheme="minorHAnsi" w:cstheme="minorHAnsi"/>
                <w:u w:val="single" w:color="000000"/>
              </w:rPr>
            </w:pPr>
            <w:r w:rsidRPr="00FA5229">
              <w:rPr>
                <w:rFonts w:asciiTheme="minorHAnsi" w:hAnsiTheme="minorHAnsi" w:cstheme="minorHAnsi"/>
                <w:b/>
                <w:bCs/>
                <w:u w:val="single" w:color="000000"/>
              </w:rPr>
              <w:t>K</w:t>
            </w:r>
            <w:r w:rsidRPr="00BD1E4C">
              <w:rPr>
                <w:rFonts w:asciiTheme="minorHAnsi" w:eastAsia="Arial" w:hAnsiTheme="minorHAnsi" w:cstheme="minorHAnsi"/>
                <w:b/>
                <w:bCs/>
                <w:u w:val="single" w:color="000000"/>
              </w:rPr>
              <w:t xml:space="preserve">ey Stakeholders </w:t>
            </w:r>
          </w:p>
          <w:p w14:paraId="6CAD0459" w14:textId="30B381EE" w:rsidR="00FA5229" w:rsidRPr="00BD1E4C" w:rsidRDefault="00BD1E4C" w:rsidP="00BD1E4C">
            <w:pPr>
              <w:spacing w:after="90"/>
              <w:ind w:left="42"/>
              <w:rPr>
                <w:rFonts w:asciiTheme="minorHAnsi" w:eastAsia="Arial" w:hAnsiTheme="minorHAnsi" w:cstheme="minorHAnsi"/>
              </w:rPr>
            </w:pPr>
            <w:r w:rsidRPr="00BD1E4C">
              <w:rPr>
                <w:rFonts w:asciiTheme="minorHAnsi" w:eastAsia="Arial" w:hAnsiTheme="minorHAnsi" w:cstheme="minorHAnsi"/>
              </w:rPr>
              <w:t>IPPF Member Associations and the IPPF Secretariat</w:t>
            </w:r>
            <w:r w:rsidR="006175A1">
              <w:rPr>
                <w:rFonts w:asciiTheme="minorHAnsi" w:eastAsia="Arial" w:hAnsiTheme="minorHAnsi" w:cstheme="minorHAnsi"/>
              </w:rPr>
              <w:t>.</w:t>
            </w:r>
          </w:p>
        </w:tc>
      </w:tr>
      <w:tr w:rsidR="0064489E" w:rsidRPr="00FA5229" w14:paraId="7FA6B333" w14:textId="77777777" w:rsidTr="00515389">
        <w:tblPrEx>
          <w:tblCellMar>
            <w:left w:w="115" w:type="dxa"/>
            <w:right w:w="84" w:type="dxa"/>
          </w:tblCellMar>
        </w:tblPrEx>
        <w:trPr>
          <w:trHeight w:val="6847"/>
        </w:trPr>
        <w:tc>
          <w:tcPr>
            <w:tcW w:w="1970" w:type="dxa"/>
            <w:tcBorders>
              <w:top w:val="single" w:sz="4" w:space="0" w:color="000000"/>
              <w:left w:val="single" w:sz="4" w:space="0" w:color="000000"/>
              <w:bottom w:val="single" w:sz="4" w:space="0" w:color="000000"/>
              <w:right w:val="single" w:sz="4" w:space="0" w:color="000000"/>
            </w:tcBorders>
          </w:tcPr>
          <w:p w14:paraId="1BE3A472" w14:textId="77777777" w:rsidR="0064489E" w:rsidRPr="008B7046" w:rsidRDefault="00BD6710">
            <w:pPr>
              <w:ind w:left="72"/>
              <w:rPr>
                <w:rFonts w:asciiTheme="minorHAnsi" w:hAnsiTheme="minorHAnsi" w:cstheme="minorHAnsi"/>
                <w:sz w:val="24"/>
                <w:szCs w:val="24"/>
              </w:rPr>
            </w:pPr>
            <w:r w:rsidRPr="008B7046">
              <w:rPr>
                <w:rFonts w:asciiTheme="minorHAnsi" w:eastAsia="Arial" w:hAnsiTheme="minorHAnsi" w:cstheme="minorHAnsi"/>
                <w:b/>
                <w:sz w:val="24"/>
                <w:szCs w:val="24"/>
              </w:rPr>
              <w:lastRenderedPageBreak/>
              <w:t xml:space="preserve">3. Scope </w:t>
            </w:r>
          </w:p>
        </w:tc>
        <w:tc>
          <w:tcPr>
            <w:tcW w:w="7951" w:type="dxa"/>
            <w:gridSpan w:val="2"/>
            <w:tcBorders>
              <w:top w:val="single" w:sz="4" w:space="0" w:color="000000"/>
              <w:left w:val="single" w:sz="4" w:space="0" w:color="000000"/>
              <w:bottom w:val="single" w:sz="4" w:space="0" w:color="000000"/>
              <w:right w:val="single" w:sz="4" w:space="0" w:color="000000"/>
            </w:tcBorders>
          </w:tcPr>
          <w:p w14:paraId="07286C67" w14:textId="39DB9A5B" w:rsidR="0064489E" w:rsidRPr="008B7046" w:rsidRDefault="00BD6710">
            <w:pPr>
              <w:spacing w:after="262" w:line="241" w:lineRule="auto"/>
              <w:ind w:left="360" w:hanging="360"/>
              <w:rPr>
                <w:rFonts w:asciiTheme="minorHAnsi" w:hAnsiTheme="minorHAnsi" w:cstheme="minorHAnsi"/>
                <w:u w:val="single"/>
              </w:rPr>
            </w:pPr>
            <w:r w:rsidRPr="008B7046">
              <w:rPr>
                <w:rFonts w:asciiTheme="minorHAnsi" w:eastAsia="Arial" w:hAnsiTheme="minorHAnsi" w:cstheme="minorHAnsi"/>
                <w:b/>
                <w:u w:val="single"/>
              </w:rPr>
              <w:t>Consultants conducting in</w:t>
            </w:r>
            <w:r w:rsidR="005D20C7" w:rsidRPr="008B7046">
              <w:rPr>
                <w:rFonts w:asciiTheme="minorHAnsi" w:eastAsia="Arial" w:hAnsiTheme="minorHAnsi" w:cstheme="minorHAnsi"/>
                <w:b/>
                <w:u w:val="single"/>
              </w:rPr>
              <w:t xml:space="preserve">vestigations </w:t>
            </w:r>
            <w:r w:rsidRPr="008B7046">
              <w:rPr>
                <w:rFonts w:asciiTheme="minorHAnsi" w:eastAsia="Arial" w:hAnsiTheme="minorHAnsi" w:cstheme="minorHAnsi"/>
                <w:b/>
                <w:u w:val="single"/>
              </w:rPr>
              <w:t xml:space="preserve">will complete </w:t>
            </w:r>
            <w:r w:rsidR="005D20C7" w:rsidRPr="008B7046">
              <w:rPr>
                <w:rFonts w:asciiTheme="minorHAnsi" w:eastAsia="Arial" w:hAnsiTheme="minorHAnsi" w:cstheme="minorHAnsi"/>
                <w:b/>
                <w:u w:val="single"/>
              </w:rPr>
              <w:t xml:space="preserve">the following work </w:t>
            </w:r>
            <w:r w:rsidRPr="008B7046">
              <w:rPr>
                <w:rFonts w:asciiTheme="minorHAnsi" w:eastAsia="Arial" w:hAnsiTheme="minorHAnsi" w:cstheme="minorHAnsi"/>
                <w:b/>
                <w:u w:val="single"/>
              </w:rPr>
              <w:t xml:space="preserve">including: </w:t>
            </w:r>
          </w:p>
          <w:p w14:paraId="3E24D1C5" w14:textId="57A810CB" w:rsidR="005D20C7"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Develop inception report detailing understanding of the assignment, methodology and approach to be used</w:t>
            </w:r>
            <w:r w:rsidR="00BD1E4C">
              <w:rPr>
                <w:rFonts w:asciiTheme="minorHAnsi" w:hAnsiTheme="minorHAnsi" w:cstheme="minorHAnsi"/>
              </w:rPr>
              <w:t>.</w:t>
            </w:r>
          </w:p>
          <w:p w14:paraId="75889457" w14:textId="77777777" w:rsidR="006175A1" w:rsidRPr="006175A1" w:rsidRDefault="006175A1" w:rsidP="006175A1">
            <w:pPr>
              <w:spacing w:line="120" w:lineRule="auto"/>
              <w:rPr>
                <w:rFonts w:asciiTheme="minorHAnsi" w:hAnsiTheme="minorHAnsi" w:cstheme="minorHAnsi"/>
              </w:rPr>
            </w:pPr>
          </w:p>
          <w:p w14:paraId="25905446" w14:textId="29846875" w:rsidR="005D20C7"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 xml:space="preserve">Develop a Risk Assessment to inform the next steps – in light of the role the Subject of Concern plays, the sensitivities of </w:t>
            </w:r>
            <w:r w:rsidR="00BD1E4C">
              <w:rPr>
                <w:rFonts w:asciiTheme="minorHAnsi" w:hAnsiTheme="minorHAnsi" w:cstheme="minorHAnsi"/>
              </w:rPr>
              <w:t xml:space="preserve">each case </w:t>
            </w:r>
            <w:r w:rsidRPr="00FA5229">
              <w:rPr>
                <w:rFonts w:asciiTheme="minorHAnsi" w:hAnsiTheme="minorHAnsi" w:cstheme="minorHAnsi"/>
              </w:rPr>
              <w:t>and the fears of the complainants and witnesses</w:t>
            </w:r>
            <w:r w:rsidR="00BD1E4C">
              <w:rPr>
                <w:rFonts w:asciiTheme="minorHAnsi" w:hAnsiTheme="minorHAnsi" w:cstheme="minorHAnsi"/>
              </w:rPr>
              <w:t>.</w:t>
            </w:r>
          </w:p>
          <w:p w14:paraId="5A1B5415" w14:textId="77777777" w:rsidR="006175A1" w:rsidRPr="006175A1" w:rsidRDefault="006175A1" w:rsidP="006175A1">
            <w:pPr>
              <w:spacing w:line="120" w:lineRule="auto"/>
              <w:rPr>
                <w:rFonts w:asciiTheme="minorHAnsi" w:hAnsiTheme="minorHAnsi" w:cstheme="minorHAnsi"/>
              </w:rPr>
            </w:pPr>
          </w:p>
          <w:p w14:paraId="2CFDD5E0" w14:textId="65990FBD" w:rsidR="005D20C7" w:rsidRPr="00FA5229"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Develop an investigation plan in accordance with the timeline agreed</w:t>
            </w:r>
            <w:r w:rsidR="00BD1E4C">
              <w:rPr>
                <w:rFonts w:asciiTheme="minorHAnsi" w:hAnsiTheme="minorHAnsi" w:cstheme="minorHAnsi"/>
              </w:rPr>
              <w:t>.</w:t>
            </w:r>
          </w:p>
          <w:p w14:paraId="2102C10D" w14:textId="3BFDB741" w:rsidR="005D20C7"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Develop interview guide</w:t>
            </w:r>
            <w:r w:rsidR="00BD6710" w:rsidRPr="00FA5229">
              <w:rPr>
                <w:rFonts w:asciiTheme="minorHAnsi" w:hAnsiTheme="minorHAnsi" w:cstheme="minorHAnsi"/>
              </w:rPr>
              <w:t xml:space="preserve"> and interview questions</w:t>
            </w:r>
            <w:r w:rsidRPr="00FA5229">
              <w:rPr>
                <w:rFonts w:asciiTheme="minorHAnsi" w:hAnsiTheme="minorHAnsi" w:cstheme="minorHAnsi"/>
              </w:rPr>
              <w:t xml:space="preserve"> to be used during the investigation process</w:t>
            </w:r>
            <w:r w:rsidR="00BD1E4C">
              <w:rPr>
                <w:rFonts w:asciiTheme="minorHAnsi" w:hAnsiTheme="minorHAnsi" w:cstheme="minorHAnsi"/>
              </w:rPr>
              <w:t>.</w:t>
            </w:r>
          </w:p>
          <w:p w14:paraId="6BBF5C0B" w14:textId="77777777" w:rsidR="006175A1" w:rsidRPr="006175A1" w:rsidRDefault="006175A1" w:rsidP="006175A1">
            <w:pPr>
              <w:spacing w:line="120" w:lineRule="auto"/>
              <w:rPr>
                <w:rFonts w:asciiTheme="minorHAnsi" w:hAnsiTheme="minorHAnsi" w:cstheme="minorHAnsi"/>
              </w:rPr>
            </w:pPr>
          </w:p>
          <w:p w14:paraId="01B4DEED" w14:textId="0F6BFA2E" w:rsidR="005D20C7"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Conduct interviews with complainants, witnesses, and Subject of Concern</w:t>
            </w:r>
            <w:r w:rsidR="00BD1E4C">
              <w:rPr>
                <w:rFonts w:asciiTheme="minorHAnsi" w:hAnsiTheme="minorHAnsi" w:cstheme="minorHAnsi"/>
              </w:rPr>
              <w:t>.</w:t>
            </w:r>
            <w:r w:rsidRPr="00FA5229">
              <w:rPr>
                <w:rFonts w:asciiTheme="minorHAnsi" w:hAnsiTheme="minorHAnsi" w:cstheme="minorHAnsi"/>
              </w:rPr>
              <w:t xml:space="preserve"> </w:t>
            </w:r>
          </w:p>
          <w:p w14:paraId="1DCBFC02" w14:textId="77777777" w:rsidR="006175A1" w:rsidRPr="006175A1" w:rsidRDefault="006175A1" w:rsidP="006175A1">
            <w:pPr>
              <w:spacing w:line="120" w:lineRule="auto"/>
              <w:rPr>
                <w:rFonts w:asciiTheme="minorHAnsi" w:hAnsiTheme="minorHAnsi" w:cstheme="minorHAnsi"/>
              </w:rPr>
            </w:pPr>
          </w:p>
          <w:p w14:paraId="12D8DD5A" w14:textId="77777777" w:rsidR="005D20C7" w:rsidRPr="00FA5229" w:rsidRDefault="005D20C7" w:rsidP="00BD1E4C">
            <w:pPr>
              <w:pStyle w:val="ListParagraph"/>
              <w:numPr>
                <w:ilvl w:val="0"/>
                <w:numId w:val="7"/>
              </w:numPr>
              <w:rPr>
                <w:rFonts w:asciiTheme="minorHAnsi" w:hAnsiTheme="minorHAnsi" w:cstheme="minorHAnsi"/>
              </w:rPr>
            </w:pPr>
            <w:r w:rsidRPr="00FA5229">
              <w:rPr>
                <w:rFonts w:asciiTheme="minorHAnsi" w:hAnsiTheme="minorHAnsi" w:cstheme="minorHAnsi"/>
              </w:rPr>
              <w:t>Produce an investigation report that contains the following:</w:t>
            </w:r>
          </w:p>
          <w:p w14:paraId="2289E5A0" w14:textId="156A5D8E" w:rsidR="005D20C7" w:rsidRPr="00515389" w:rsidRDefault="005D20C7" w:rsidP="006175A1">
            <w:pPr>
              <w:pStyle w:val="ListParagraph"/>
              <w:numPr>
                <w:ilvl w:val="1"/>
                <w:numId w:val="7"/>
              </w:numPr>
              <w:rPr>
                <w:rFonts w:asciiTheme="minorHAnsi" w:hAnsiTheme="minorHAnsi" w:cstheme="minorHAnsi"/>
              </w:rPr>
            </w:pPr>
            <w:r w:rsidRPr="00FA5229">
              <w:rPr>
                <w:rFonts w:asciiTheme="minorHAnsi" w:hAnsiTheme="minorHAnsi" w:cstheme="minorHAnsi"/>
              </w:rPr>
              <w:t xml:space="preserve">Detailed investigation findings </w:t>
            </w:r>
            <w:r w:rsidR="00515389">
              <w:rPr>
                <w:rFonts w:asciiTheme="minorHAnsi" w:hAnsiTheme="minorHAnsi" w:cstheme="minorHAnsi"/>
              </w:rPr>
              <w:t xml:space="preserve">and </w:t>
            </w:r>
            <w:r w:rsidRPr="00515389">
              <w:rPr>
                <w:rFonts w:asciiTheme="minorHAnsi" w:hAnsiTheme="minorHAnsi" w:cstheme="minorHAnsi"/>
              </w:rPr>
              <w:t>outcomes for each of the listed allegations using</w:t>
            </w:r>
            <w:r w:rsidR="00515389" w:rsidRPr="00515389">
              <w:rPr>
                <w:rFonts w:asciiTheme="minorHAnsi" w:hAnsiTheme="minorHAnsi" w:cstheme="minorHAnsi"/>
              </w:rPr>
              <w:t xml:space="preserve"> the ‘balance of probabilities’ burden of proof</w:t>
            </w:r>
            <w:r w:rsidR="00515389">
              <w:rPr>
                <w:rFonts w:asciiTheme="minorHAnsi" w:hAnsiTheme="minorHAnsi" w:cstheme="minorHAnsi"/>
              </w:rPr>
              <w:t xml:space="preserve"> as follows: </w:t>
            </w:r>
          </w:p>
          <w:p w14:paraId="3745DF47" w14:textId="406E1E34" w:rsidR="00515389" w:rsidRDefault="00515389" w:rsidP="006175A1">
            <w:pPr>
              <w:pStyle w:val="ListParagraph"/>
              <w:numPr>
                <w:ilvl w:val="1"/>
                <w:numId w:val="7"/>
              </w:numPr>
              <w:rPr>
                <w:rFonts w:asciiTheme="minorHAnsi" w:hAnsiTheme="minorHAnsi" w:cstheme="minorHAnsi"/>
              </w:rPr>
            </w:pPr>
            <w:r w:rsidRPr="00515389">
              <w:rPr>
                <w:rFonts w:asciiTheme="minorHAnsi" w:hAnsiTheme="minorHAnsi" w:cstheme="minorHAnsi"/>
              </w:rPr>
              <w:t>Substantiated: based on merit and evidence</w:t>
            </w:r>
            <w:r>
              <w:rPr>
                <w:rFonts w:asciiTheme="minorHAnsi" w:hAnsiTheme="minorHAnsi" w:cstheme="minorHAnsi"/>
              </w:rPr>
              <w:t>;</w:t>
            </w:r>
            <w:r w:rsidRPr="00515389">
              <w:rPr>
                <w:rFonts w:asciiTheme="minorHAnsi" w:hAnsiTheme="minorHAnsi" w:cstheme="minorHAnsi"/>
              </w:rPr>
              <w:t xml:space="preserve"> </w:t>
            </w:r>
          </w:p>
          <w:p w14:paraId="15339E54" w14:textId="5B898B2E" w:rsidR="00515389" w:rsidRPr="00515389" w:rsidRDefault="00515389" w:rsidP="006175A1">
            <w:pPr>
              <w:pStyle w:val="ListParagraph"/>
              <w:numPr>
                <w:ilvl w:val="1"/>
                <w:numId w:val="7"/>
              </w:numPr>
              <w:rPr>
                <w:rFonts w:asciiTheme="minorHAnsi" w:hAnsiTheme="minorHAnsi" w:cstheme="minorHAnsi"/>
              </w:rPr>
            </w:pPr>
            <w:r>
              <w:rPr>
                <w:rFonts w:asciiTheme="minorHAnsi" w:hAnsiTheme="minorHAnsi" w:cstheme="minorHAnsi"/>
              </w:rPr>
              <w:t>Partially substantiated: based on merit and evidence;</w:t>
            </w:r>
          </w:p>
          <w:p w14:paraId="0E936729" w14:textId="46AD38D4" w:rsidR="00515389" w:rsidRPr="00515389" w:rsidRDefault="00515389" w:rsidP="006175A1">
            <w:pPr>
              <w:pStyle w:val="ListParagraph"/>
              <w:numPr>
                <w:ilvl w:val="1"/>
                <w:numId w:val="7"/>
              </w:numPr>
              <w:rPr>
                <w:rFonts w:asciiTheme="minorHAnsi" w:hAnsiTheme="minorHAnsi" w:cstheme="minorHAnsi"/>
              </w:rPr>
            </w:pPr>
            <w:r w:rsidRPr="00515389">
              <w:rPr>
                <w:rFonts w:asciiTheme="minorHAnsi" w:hAnsiTheme="minorHAnsi" w:cstheme="minorHAnsi"/>
              </w:rPr>
              <w:t>Unsubstantiated: based on insufficient or unclear evidence</w:t>
            </w:r>
            <w:r>
              <w:rPr>
                <w:rFonts w:asciiTheme="minorHAnsi" w:hAnsiTheme="minorHAnsi" w:cstheme="minorHAnsi"/>
              </w:rPr>
              <w:t>;</w:t>
            </w:r>
            <w:r w:rsidRPr="00515389">
              <w:rPr>
                <w:rFonts w:asciiTheme="minorHAnsi" w:hAnsiTheme="minorHAnsi" w:cstheme="minorHAnsi"/>
              </w:rPr>
              <w:t xml:space="preserve"> </w:t>
            </w:r>
          </w:p>
          <w:p w14:paraId="3B5E65ED" w14:textId="7E6A040A" w:rsidR="00515389" w:rsidRPr="00515389" w:rsidRDefault="00515389" w:rsidP="006175A1">
            <w:pPr>
              <w:pStyle w:val="ListParagraph"/>
              <w:numPr>
                <w:ilvl w:val="1"/>
                <w:numId w:val="7"/>
              </w:numPr>
              <w:rPr>
                <w:rFonts w:asciiTheme="minorHAnsi" w:hAnsiTheme="minorHAnsi" w:cstheme="minorHAnsi"/>
              </w:rPr>
            </w:pPr>
            <w:r w:rsidRPr="00515389">
              <w:rPr>
                <w:rFonts w:asciiTheme="minorHAnsi" w:hAnsiTheme="minorHAnsi" w:cstheme="minorHAnsi"/>
              </w:rPr>
              <w:t>Malicious or vexatious: based on evidence that reveals the intention and a deliberate act to deceive</w:t>
            </w:r>
            <w:r>
              <w:rPr>
                <w:rFonts w:asciiTheme="minorHAnsi" w:hAnsiTheme="minorHAnsi" w:cstheme="minorHAnsi"/>
              </w:rPr>
              <w:t xml:space="preserve">, disrupt or; </w:t>
            </w:r>
          </w:p>
          <w:p w14:paraId="32BCA961" w14:textId="090192CC" w:rsidR="00BD1E4C" w:rsidRDefault="00BD1E4C" w:rsidP="006175A1">
            <w:pPr>
              <w:pStyle w:val="ListParagraph"/>
              <w:numPr>
                <w:ilvl w:val="1"/>
                <w:numId w:val="7"/>
              </w:numPr>
              <w:rPr>
                <w:rFonts w:asciiTheme="minorHAnsi" w:hAnsiTheme="minorHAnsi" w:cstheme="minorHAnsi"/>
              </w:rPr>
            </w:pPr>
            <w:r>
              <w:rPr>
                <w:rFonts w:asciiTheme="minorHAnsi" w:hAnsiTheme="minorHAnsi" w:cstheme="minorHAnsi"/>
              </w:rPr>
              <w:t>Recommended Management Actions</w:t>
            </w:r>
            <w:r w:rsidR="00515389">
              <w:rPr>
                <w:rFonts w:asciiTheme="minorHAnsi" w:hAnsiTheme="minorHAnsi" w:cstheme="minorHAnsi"/>
              </w:rPr>
              <w:t xml:space="preserve"> to prevent reoccurrence; and</w:t>
            </w:r>
          </w:p>
          <w:p w14:paraId="7A9D4D2D" w14:textId="1A95041D" w:rsidR="00FA5229" w:rsidRPr="00515389" w:rsidRDefault="00BD1E4C" w:rsidP="006175A1">
            <w:pPr>
              <w:pStyle w:val="ListParagraph"/>
              <w:numPr>
                <w:ilvl w:val="1"/>
                <w:numId w:val="7"/>
              </w:numPr>
              <w:rPr>
                <w:rFonts w:asciiTheme="minorHAnsi" w:hAnsiTheme="minorHAnsi" w:cstheme="minorHAnsi"/>
              </w:rPr>
            </w:pPr>
            <w:r w:rsidRPr="00FA5229">
              <w:rPr>
                <w:rFonts w:asciiTheme="minorHAnsi" w:hAnsiTheme="minorHAnsi" w:cstheme="minorHAnsi"/>
              </w:rPr>
              <w:t>An annexe that lists all the documents reviewed and individuals interviewed</w:t>
            </w:r>
            <w:r>
              <w:rPr>
                <w:rFonts w:asciiTheme="minorHAnsi" w:hAnsiTheme="minorHAnsi" w:cstheme="minorHAnsi"/>
              </w:rPr>
              <w:t xml:space="preserve"> and signed transcripts of interviews undertaken.</w:t>
            </w:r>
          </w:p>
        </w:tc>
      </w:tr>
      <w:tr w:rsidR="00515389" w:rsidRPr="00FA5229" w14:paraId="34F0EBAC" w14:textId="77777777" w:rsidTr="008B7046">
        <w:tblPrEx>
          <w:tblCellMar>
            <w:left w:w="115" w:type="dxa"/>
            <w:bottom w:w="208" w:type="dxa"/>
            <w:right w:w="60" w:type="dxa"/>
          </w:tblCellMar>
        </w:tblPrEx>
        <w:trPr>
          <w:trHeight w:val="1420"/>
        </w:trPr>
        <w:tc>
          <w:tcPr>
            <w:tcW w:w="1970" w:type="dxa"/>
            <w:tcBorders>
              <w:top w:val="single" w:sz="4" w:space="0" w:color="000000"/>
              <w:left w:val="single" w:sz="4" w:space="0" w:color="000000"/>
              <w:bottom w:val="single" w:sz="4" w:space="0" w:color="000000"/>
              <w:right w:val="single" w:sz="4" w:space="0" w:color="000000"/>
            </w:tcBorders>
          </w:tcPr>
          <w:p w14:paraId="2B176D8A" w14:textId="6AEB7B68" w:rsidR="00515389" w:rsidRPr="00FA5229" w:rsidRDefault="00515389" w:rsidP="00515389">
            <w:pPr>
              <w:rPr>
                <w:rFonts w:asciiTheme="minorHAnsi" w:hAnsiTheme="minorHAnsi" w:cstheme="minorHAnsi"/>
              </w:rPr>
            </w:pPr>
            <w:r w:rsidRPr="008B7046">
              <w:rPr>
                <w:rFonts w:asciiTheme="minorHAnsi" w:eastAsia="Arial" w:hAnsiTheme="minorHAnsi" w:cstheme="minorHAnsi"/>
                <w:b/>
                <w:sz w:val="24"/>
                <w:szCs w:val="24"/>
              </w:rPr>
              <w:t xml:space="preserve">4. Timeline </w:t>
            </w:r>
          </w:p>
        </w:tc>
        <w:tc>
          <w:tcPr>
            <w:tcW w:w="7951" w:type="dxa"/>
            <w:gridSpan w:val="2"/>
            <w:tcBorders>
              <w:top w:val="single" w:sz="4" w:space="0" w:color="000000"/>
              <w:left w:val="single" w:sz="4" w:space="0" w:color="000000"/>
              <w:bottom w:val="single" w:sz="4" w:space="0" w:color="000000"/>
              <w:right w:val="single" w:sz="4" w:space="0" w:color="000000"/>
            </w:tcBorders>
            <w:vAlign w:val="center"/>
          </w:tcPr>
          <w:p w14:paraId="36AB0581" w14:textId="39DFF8D1" w:rsidR="00515389" w:rsidRPr="00515389" w:rsidRDefault="00515389" w:rsidP="00515389">
            <w:pPr>
              <w:rPr>
                <w:rFonts w:asciiTheme="minorHAnsi" w:eastAsia="Arial" w:hAnsiTheme="minorHAnsi" w:cstheme="minorHAnsi"/>
                <w:b/>
                <w:bCs/>
                <w:u w:val="single"/>
              </w:rPr>
            </w:pPr>
            <w:r w:rsidRPr="00515389">
              <w:rPr>
                <w:rFonts w:asciiTheme="minorHAnsi" w:eastAsia="Arial" w:hAnsiTheme="minorHAnsi" w:cstheme="minorHAnsi"/>
                <w:b/>
                <w:bCs/>
                <w:u w:val="single"/>
              </w:rPr>
              <w:t>Commencement Date</w:t>
            </w:r>
          </w:p>
          <w:p w14:paraId="3CD21655" w14:textId="0F2C6F00" w:rsidR="00515389" w:rsidRDefault="00515389" w:rsidP="00515389">
            <w:pPr>
              <w:rPr>
                <w:rFonts w:asciiTheme="minorHAnsi" w:eastAsia="Arial" w:hAnsiTheme="minorHAnsi" w:cstheme="minorHAnsi"/>
              </w:rPr>
            </w:pPr>
            <w:r w:rsidRPr="008B7046">
              <w:rPr>
                <w:rFonts w:asciiTheme="minorHAnsi" w:eastAsia="Arial" w:hAnsiTheme="minorHAnsi" w:cstheme="minorHAnsi"/>
              </w:rPr>
              <w:t xml:space="preserve">This is a roster of consultants. Actual execution of individual assignments is expected to commence no earlier than January 2024 on a call time basis.  for a duration of one year. This may be extended depending on the satisfactory performance of the assignments in the preceding years and availability of funding. </w:t>
            </w:r>
          </w:p>
          <w:p w14:paraId="272A3A71" w14:textId="77777777" w:rsidR="00515389" w:rsidRPr="008B7046" w:rsidRDefault="00515389" w:rsidP="00515389">
            <w:pPr>
              <w:spacing w:line="120" w:lineRule="auto"/>
              <w:rPr>
                <w:rFonts w:asciiTheme="minorHAnsi" w:hAnsiTheme="minorHAnsi" w:cstheme="minorHAnsi"/>
              </w:rPr>
            </w:pPr>
          </w:p>
          <w:p w14:paraId="62AF947E" w14:textId="00631E23" w:rsidR="00515389" w:rsidRPr="008B7046" w:rsidRDefault="00515389" w:rsidP="00515389">
            <w:pPr>
              <w:rPr>
                <w:rFonts w:asciiTheme="minorHAnsi" w:hAnsiTheme="minorHAnsi" w:cstheme="minorHAnsi"/>
                <w:b/>
                <w:bCs/>
              </w:rPr>
            </w:pPr>
            <w:r w:rsidRPr="008B7046">
              <w:rPr>
                <w:rFonts w:asciiTheme="minorHAnsi" w:eastAsia="Arial" w:hAnsiTheme="minorHAnsi" w:cstheme="minorHAnsi"/>
                <w:b/>
                <w:bCs/>
                <w:u w:val="single" w:color="000000"/>
              </w:rPr>
              <w:t>Anticipated services</w:t>
            </w:r>
          </w:p>
          <w:p w14:paraId="04E088E8" w14:textId="7FC2C4CD" w:rsidR="00515389" w:rsidRPr="008B7046" w:rsidRDefault="00515389" w:rsidP="00515389">
            <w:pPr>
              <w:rPr>
                <w:rFonts w:asciiTheme="minorHAnsi" w:hAnsiTheme="minorHAnsi" w:cstheme="minorHAnsi"/>
              </w:rPr>
            </w:pPr>
            <w:r w:rsidRPr="008B7046">
              <w:rPr>
                <w:rFonts w:asciiTheme="minorHAnsi" w:eastAsia="Arial" w:hAnsiTheme="minorHAnsi" w:cstheme="minorHAnsi"/>
              </w:rPr>
              <w:t xml:space="preserve">Each investigation is expected to take a maximum duration of 25 days. </w:t>
            </w:r>
          </w:p>
        </w:tc>
      </w:tr>
      <w:tr w:rsidR="00515389" w:rsidRPr="00FA5229" w14:paraId="1410019B" w14:textId="77777777" w:rsidTr="008B7046">
        <w:tblPrEx>
          <w:tblCellMar>
            <w:left w:w="115" w:type="dxa"/>
            <w:bottom w:w="208" w:type="dxa"/>
            <w:right w:w="60" w:type="dxa"/>
          </w:tblCellMar>
        </w:tblPrEx>
        <w:trPr>
          <w:trHeight w:val="2230"/>
        </w:trPr>
        <w:tc>
          <w:tcPr>
            <w:tcW w:w="1970" w:type="dxa"/>
            <w:tcBorders>
              <w:top w:val="single" w:sz="4" w:space="0" w:color="000000"/>
              <w:left w:val="single" w:sz="4" w:space="0" w:color="000000"/>
              <w:bottom w:val="single" w:sz="4" w:space="0" w:color="000000"/>
              <w:right w:val="single" w:sz="4" w:space="0" w:color="000000"/>
            </w:tcBorders>
          </w:tcPr>
          <w:p w14:paraId="198DF297" w14:textId="4C33014E" w:rsidR="00515389" w:rsidRPr="008B7046" w:rsidRDefault="00515389" w:rsidP="00515389">
            <w:pPr>
              <w:rPr>
                <w:rFonts w:asciiTheme="minorHAnsi" w:hAnsiTheme="minorHAnsi" w:cstheme="minorHAnsi"/>
                <w:sz w:val="24"/>
                <w:szCs w:val="24"/>
              </w:rPr>
            </w:pPr>
            <w:r w:rsidRPr="008B7046">
              <w:rPr>
                <w:rFonts w:asciiTheme="minorHAnsi" w:eastAsia="Arial" w:hAnsiTheme="minorHAnsi" w:cstheme="minorHAnsi"/>
                <w:b/>
                <w:sz w:val="24"/>
                <w:szCs w:val="24"/>
              </w:rPr>
              <w:t xml:space="preserve">5. Milestones &amp; Deliverables </w:t>
            </w:r>
          </w:p>
        </w:tc>
        <w:tc>
          <w:tcPr>
            <w:tcW w:w="7951" w:type="dxa"/>
            <w:gridSpan w:val="2"/>
            <w:tcBorders>
              <w:top w:val="single" w:sz="4" w:space="0" w:color="000000"/>
              <w:left w:val="single" w:sz="4" w:space="0" w:color="000000"/>
              <w:bottom w:val="single" w:sz="4" w:space="0" w:color="000000"/>
              <w:right w:val="single" w:sz="4" w:space="0" w:color="000000"/>
            </w:tcBorders>
          </w:tcPr>
          <w:p w14:paraId="571427E6" w14:textId="77777777" w:rsidR="00515389" w:rsidRDefault="00515389" w:rsidP="00515389">
            <w:pPr>
              <w:ind w:right="29"/>
              <w:rPr>
                <w:rFonts w:asciiTheme="minorHAnsi" w:eastAsia="Arial" w:hAnsiTheme="minorHAnsi" w:cstheme="minorHAnsi"/>
              </w:rPr>
            </w:pPr>
            <w:r w:rsidRPr="008B7046">
              <w:rPr>
                <w:rFonts w:asciiTheme="minorHAnsi" w:eastAsia="Arial" w:hAnsiTheme="minorHAnsi" w:cstheme="minorHAnsi"/>
              </w:rPr>
              <w:t>As a requirement that will be made clear in the Terms of Reference for each assignment, the investigator will create a timeline in discussion with the designated IPPF lead for the assignment.</w:t>
            </w:r>
            <w:r>
              <w:rPr>
                <w:rFonts w:asciiTheme="minorHAnsi" w:eastAsia="Arial" w:hAnsiTheme="minorHAnsi" w:cstheme="minorHAnsi"/>
              </w:rPr>
              <w:t xml:space="preserve"> </w:t>
            </w:r>
          </w:p>
          <w:p w14:paraId="58DEECA6" w14:textId="77777777" w:rsidR="00515389" w:rsidRDefault="00515389" w:rsidP="00515389">
            <w:pPr>
              <w:spacing w:line="120" w:lineRule="auto"/>
              <w:ind w:right="29"/>
              <w:rPr>
                <w:rFonts w:asciiTheme="minorHAnsi" w:eastAsia="Arial" w:hAnsiTheme="minorHAnsi" w:cstheme="minorHAnsi"/>
              </w:rPr>
            </w:pPr>
          </w:p>
          <w:p w14:paraId="6A27CDD3" w14:textId="3B4B7547" w:rsidR="00515389" w:rsidRPr="00BD1E4C" w:rsidRDefault="00515389" w:rsidP="00515389">
            <w:pPr>
              <w:ind w:right="29"/>
              <w:rPr>
                <w:rFonts w:asciiTheme="minorHAnsi" w:eastAsia="Arial" w:hAnsiTheme="minorHAnsi" w:cstheme="minorHAnsi"/>
              </w:rPr>
            </w:pPr>
            <w:r w:rsidRPr="008B7046">
              <w:rPr>
                <w:rFonts w:asciiTheme="minorHAnsi" w:eastAsia="Arial" w:hAnsiTheme="minorHAnsi" w:cstheme="minorHAnsi"/>
              </w:rPr>
              <w:t xml:space="preserve">Deviations from the timeline must be communicated to the designated IPPF lead for the assignment in advance of each deadline impacted. </w:t>
            </w:r>
            <w:r w:rsidRPr="008B7046">
              <w:rPr>
                <w:rFonts w:asciiTheme="minorHAnsi" w:hAnsiTheme="minorHAnsi" w:cstheme="minorHAnsi"/>
              </w:rPr>
              <w:t>The investigator is responsible for the successful timely achievement of deliverables, which will be made clear in the Terms of Reference for each assignment.</w:t>
            </w:r>
          </w:p>
        </w:tc>
      </w:tr>
      <w:tr w:rsidR="00515389" w:rsidRPr="00FA5229" w14:paraId="1A57B1D7" w14:textId="77777777" w:rsidTr="008B7046">
        <w:tblPrEx>
          <w:tblCellMar>
            <w:left w:w="115" w:type="dxa"/>
            <w:bottom w:w="208" w:type="dxa"/>
            <w:right w:w="60" w:type="dxa"/>
          </w:tblCellMar>
        </w:tblPrEx>
        <w:trPr>
          <w:trHeight w:val="3292"/>
        </w:trPr>
        <w:tc>
          <w:tcPr>
            <w:tcW w:w="1970" w:type="dxa"/>
            <w:tcBorders>
              <w:top w:val="single" w:sz="4" w:space="0" w:color="000000"/>
              <w:left w:val="single" w:sz="4" w:space="0" w:color="000000"/>
              <w:bottom w:val="single" w:sz="4" w:space="0" w:color="000000"/>
              <w:right w:val="single" w:sz="4" w:space="0" w:color="000000"/>
            </w:tcBorders>
          </w:tcPr>
          <w:p w14:paraId="451A44A4" w14:textId="547FC648" w:rsidR="00515389" w:rsidRPr="00FA5229" w:rsidRDefault="00515389" w:rsidP="00515389">
            <w:pPr>
              <w:ind w:left="360" w:hanging="288"/>
              <w:rPr>
                <w:rFonts w:asciiTheme="minorHAnsi" w:hAnsiTheme="minorHAnsi" w:cstheme="minorHAnsi"/>
              </w:rPr>
            </w:pPr>
            <w:r w:rsidRPr="00FA5229">
              <w:rPr>
                <w:rFonts w:asciiTheme="minorHAnsi" w:eastAsia="Arial" w:hAnsiTheme="minorHAnsi" w:cstheme="minorHAnsi"/>
                <w:b/>
                <w:sz w:val="20"/>
              </w:rPr>
              <w:lastRenderedPageBreak/>
              <w:t xml:space="preserve">6. </w:t>
            </w:r>
            <w:r w:rsidRPr="008B7046">
              <w:rPr>
                <w:rFonts w:asciiTheme="minorHAnsi" w:eastAsia="Arial" w:hAnsiTheme="minorHAnsi" w:cstheme="minorHAnsi"/>
                <w:b/>
                <w:sz w:val="24"/>
                <w:szCs w:val="24"/>
              </w:rPr>
              <w:t xml:space="preserve">Experience &amp; Qualifications  </w:t>
            </w:r>
          </w:p>
        </w:tc>
        <w:tc>
          <w:tcPr>
            <w:tcW w:w="7951" w:type="dxa"/>
            <w:gridSpan w:val="2"/>
            <w:tcBorders>
              <w:top w:val="single" w:sz="4" w:space="0" w:color="000000"/>
              <w:left w:val="single" w:sz="4" w:space="0" w:color="000000"/>
              <w:bottom w:val="single" w:sz="4" w:space="0" w:color="000000"/>
              <w:right w:val="single" w:sz="4" w:space="0" w:color="000000"/>
            </w:tcBorders>
          </w:tcPr>
          <w:p w14:paraId="1BC81D4C" w14:textId="243E8F5C" w:rsidR="00515389" w:rsidRPr="006175A1" w:rsidRDefault="00515389" w:rsidP="006175A1">
            <w:pPr>
              <w:spacing w:after="54" w:line="255" w:lineRule="auto"/>
              <w:rPr>
                <w:rFonts w:asciiTheme="minorHAnsi" w:eastAsia="Arial" w:hAnsiTheme="minorHAnsi" w:cstheme="minorHAnsi"/>
              </w:rPr>
            </w:pPr>
            <w:r w:rsidRPr="008B7046">
              <w:rPr>
                <w:rFonts w:asciiTheme="minorHAnsi" w:eastAsia="Arial" w:hAnsiTheme="minorHAnsi" w:cstheme="minorHAnsi"/>
              </w:rPr>
              <w:t>The successful applicants should</w:t>
            </w:r>
            <w:r w:rsidR="006175A1">
              <w:rPr>
                <w:rFonts w:asciiTheme="minorHAnsi" w:eastAsia="Arial" w:hAnsiTheme="minorHAnsi" w:cstheme="minorHAnsi"/>
              </w:rPr>
              <w:t>:</w:t>
            </w:r>
          </w:p>
          <w:p w14:paraId="6718BEA7" w14:textId="77777777" w:rsidR="00515389" w:rsidRPr="006175A1" w:rsidRDefault="00515389" w:rsidP="006175A1">
            <w:pPr>
              <w:numPr>
                <w:ilvl w:val="0"/>
                <w:numId w:val="4"/>
              </w:numPr>
              <w:spacing w:after="54" w:line="255" w:lineRule="auto"/>
              <w:ind w:hanging="398"/>
              <w:rPr>
                <w:rFonts w:asciiTheme="minorHAnsi" w:eastAsia="Arial" w:hAnsiTheme="minorHAnsi" w:cstheme="minorHAnsi"/>
              </w:rPr>
            </w:pPr>
            <w:r w:rsidRPr="008B7046">
              <w:rPr>
                <w:rFonts w:asciiTheme="minorHAnsi" w:eastAsia="Arial" w:hAnsiTheme="minorHAnsi" w:cstheme="minorHAnsi"/>
              </w:rPr>
              <w:t xml:space="preserve">Be able to communicate clearly and effectively both orally and in writing in English. Preference will be given to consultants who additionally are able to work in French, Spanish, Portuguese, or Arabic. </w:t>
            </w:r>
          </w:p>
          <w:p w14:paraId="0B608DDE" w14:textId="77777777" w:rsidR="00515389" w:rsidRPr="006175A1" w:rsidRDefault="00515389" w:rsidP="006175A1">
            <w:pPr>
              <w:numPr>
                <w:ilvl w:val="0"/>
                <w:numId w:val="4"/>
              </w:numPr>
              <w:spacing w:after="54" w:line="255" w:lineRule="auto"/>
              <w:ind w:hanging="398"/>
              <w:rPr>
                <w:rFonts w:asciiTheme="minorHAnsi" w:eastAsia="Arial" w:hAnsiTheme="minorHAnsi" w:cstheme="minorHAnsi"/>
              </w:rPr>
            </w:pPr>
            <w:r w:rsidRPr="008B7046">
              <w:rPr>
                <w:rFonts w:asciiTheme="minorHAnsi" w:eastAsia="Arial" w:hAnsiTheme="minorHAnsi" w:cstheme="minorHAnsi"/>
              </w:rPr>
              <w:t xml:space="preserve">Be CHS Alliance Investigation trained or who have significant experience of Safeguarding and/or Human Resource investigations experience. </w:t>
            </w:r>
          </w:p>
          <w:p w14:paraId="61EF1935" w14:textId="7C1CEAEF" w:rsidR="00515389" w:rsidRPr="006175A1" w:rsidRDefault="00515389" w:rsidP="006175A1">
            <w:pPr>
              <w:numPr>
                <w:ilvl w:val="0"/>
                <w:numId w:val="4"/>
              </w:numPr>
              <w:spacing w:after="54" w:line="255" w:lineRule="auto"/>
              <w:ind w:hanging="398"/>
              <w:rPr>
                <w:rFonts w:asciiTheme="minorHAnsi" w:eastAsia="Arial" w:hAnsiTheme="minorHAnsi" w:cstheme="minorHAnsi"/>
              </w:rPr>
            </w:pPr>
            <w:r w:rsidRPr="008B7046">
              <w:rPr>
                <w:rFonts w:asciiTheme="minorHAnsi" w:eastAsia="Arial" w:hAnsiTheme="minorHAnsi" w:cstheme="minorHAnsi"/>
              </w:rPr>
              <w:t>Be able to gather, analyse and evaluate facts and to prepare and present concise oral and written reports</w:t>
            </w:r>
            <w:r w:rsidR="006175A1">
              <w:rPr>
                <w:rFonts w:asciiTheme="minorHAnsi" w:eastAsia="Arial" w:hAnsiTheme="minorHAnsi" w:cstheme="minorHAnsi"/>
              </w:rPr>
              <w:t>.</w:t>
            </w:r>
            <w:r w:rsidRPr="008B7046">
              <w:rPr>
                <w:rFonts w:asciiTheme="minorHAnsi" w:eastAsia="Arial" w:hAnsiTheme="minorHAnsi" w:cstheme="minorHAnsi"/>
              </w:rPr>
              <w:t xml:space="preserve">  </w:t>
            </w:r>
          </w:p>
          <w:p w14:paraId="2CA6F333" w14:textId="40AE5C6F" w:rsidR="00515389" w:rsidRPr="006175A1" w:rsidRDefault="00515389" w:rsidP="006175A1">
            <w:pPr>
              <w:numPr>
                <w:ilvl w:val="0"/>
                <w:numId w:val="4"/>
              </w:numPr>
              <w:spacing w:after="54" w:line="255" w:lineRule="auto"/>
              <w:ind w:hanging="398"/>
              <w:rPr>
                <w:rFonts w:asciiTheme="minorHAnsi" w:eastAsia="Arial" w:hAnsiTheme="minorHAnsi" w:cstheme="minorHAnsi"/>
              </w:rPr>
            </w:pPr>
            <w:r w:rsidRPr="008B7046">
              <w:rPr>
                <w:rFonts w:asciiTheme="minorHAnsi" w:eastAsia="Arial" w:hAnsiTheme="minorHAnsi" w:cstheme="minorHAnsi"/>
              </w:rPr>
              <w:t>Be able to work unsupervised</w:t>
            </w:r>
            <w:r w:rsidR="006175A1">
              <w:rPr>
                <w:rFonts w:asciiTheme="minorHAnsi" w:eastAsia="Arial" w:hAnsiTheme="minorHAnsi" w:cstheme="minorHAnsi"/>
              </w:rPr>
              <w:t>.</w:t>
            </w:r>
            <w:r w:rsidRPr="008B7046">
              <w:rPr>
                <w:rFonts w:asciiTheme="minorHAnsi" w:eastAsia="Arial" w:hAnsiTheme="minorHAnsi" w:cstheme="minorHAnsi"/>
              </w:rPr>
              <w:t xml:space="preserve"> </w:t>
            </w:r>
          </w:p>
          <w:p w14:paraId="56D6EF74" w14:textId="0ED29BC4" w:rsidR="006175A1" w:rsidRPr="006175A1" w:rsidRDefault="006175A1" w:rsidP="006175A1">
            <w:pPr>
              <w:numPr>
                <w:ilvl w:val="0"/>
                <w:numId w:val="4"/>
              </w:numPr>
              <w:spacing w:after="54" w:line="255" w:lineRule="auto"/>
              <w:ind w:hanging="398"/>
              <w:rPr>
                <w:rFonts w:asciiTheme="minorHAnsi" w:eastAsia="Arial" w:hAnsiTheme="minorHAnsi" w:cstheme="minorHAnsi"/>
              </w:rPr>
            </w:pPr>
            <w:r>
              <w:rPr>
                <w:rFonts w:asciiTheme="minorHAnsi" w:eastAsia="Arial" w:hAnsiTheme="minorHAnsi" w:cstheme="minorHAnsi"/>
              </w:rPr>
              <w:t>Have undertaken several HR or safeguarding investigations in the last 2 years.</w:t>
            </w:r>
          </w:p>
          <w:p w14:paraId="1BCCC96A" w14:textId="3B379737" w:rsidR="00515389" w:rsidRPr="006175A1" w:rsidRDefault="00515389" w:rsidP="006175A1">
            <w:pPr>
              <w:numPr>
                <w:ilvl w:val="0"/>
                <w:numId w:val="4"/>
              </w:numPr>
              <w:spacing w:after="54" w:line="255" w:lineRule="auto"/>
              <w:ind w:hanging="398"/>
              <w:rPr>
                <w:rFonts w:asciiTheme="minorHAnsi" w:eastAsia="Arial" w:hAnsiTheme="minorHAnsi" w:cstheme="minorHAnsi"/>
              </w:rPr>
            </w:pPr>
            <w:r w:rsidRPr="008B7046">
              <w:rPr>
                <w:rFonts w:asciiTheme="minorHAnsi" w:eastAsia="Arial" w:hAnsiTheme="minorHAnsi" w:cstheme="minorHAnsi"/>
              </w:rPr>
              <w:t xml:space="preserve">Experience working with not-for-profit organizations/ International </w:t>
            </w:r>
            <w:r w:rsidR="006175A1">
              <w:rPr>
                <w:rFonts w:asciiTheme="minorHAnsi" w:eastAsia="Arial" w:hAnsiTheme="minorHAnsi" w:cstheme="minorHAnsi"/>
              </w:rPr>
              <w:t xml:space="preserve">           </w:t>
            </w:r>
            <w:r w:rsidRPr="008B7046">
              <w:rPr>
                <w:rFonts w:asciiTheme="minorHAnsi" w:eastAsia="Arial" w:hAnsiTheme="minorHAnsi" w:cstheme="minorHAnsi"/>
              </w:rPr>
              <w:t xml:space="preserve">Non-Governmental Organizations (NGO) is highly desirable. </w:t>
            </w:r>
          </w:p>
        </w:tc>
      </w:tr>
      <w:tr w:rsidR="00515389" w:rsidRPr="00FA5229" w14:paraId="4455D1FA" w14:textId="77777777" w:rsidTr="006175A1">
        <w:tblPrEx>
          <w:tblCellMar>
            <w:left w:w="115" w:type="dxa"/>
            <w:bottom w:w="208" w:type="dxa"/>
            <w:right w:w="60" w:type="dxa"/>
          </w:tblCellMar>
        </w:tblPrEx>
        <w:trPr>
          <w:trHeight w:val="1240"/>
        </w:trPr>
        <w:tc>
          <w:tcPr>
            <w:tcW w:w="1970" w:type="dxa"/>
            <w:vMerge w:val="restart"/>
            <w:tcBorders>
              <w:top w:val="single" w:sz="4" w:space="0" w:color="000000"/>
              <w:left w:val="single" w:sz="4" w:space="0" w:color="000000"/>
              <w:right w:val="single" w:sz="4" w:space="0" w:color="000000"/>
            </w:tcBorders>
          </w:tcPr>
          <w:p w14:paraId="314E3FC7" w14:textId="77777777" w:rsidR="00515389" w:rsidRPr="00BD1E4C" w:rsidRDefault="00515389" w:rsidP="00515389">
            <w:pPr>
              <w:ind w:left="72"/>
              <w:rPr>
                <w:rFonts w:asciiTheme="minorHAnsi" w:hAnsiTheme="minorHAnsi" w:cstheme="minorHAnsi"/>
                <w:sz w:val="24"/>
                <w:szCs w:val="24"/>
              </w:rPr>
            </w:pPr>
            <w:r w:rsidRPr="00BD1E4C">
              <w:rPr>
                <w:rFonts w:asciiTheme="minorHAnsi" w:eastAsia="Arial" w:hAnsiTheme="minorHAnsi" w:cstheme="minorHAnsi"/>
                <w:b/>
                <w:sz w:val="24"/>
                <w:szCs w:val="24"/>
              </w:rPr>
              <w:t xml:space="preserve">7. How to apply </w:t>
            </w:r>
          </w:p>
        </w:tc>
        <w:tc>
          <w:tcPr>
            <w:tcW w:w="7951" w:type="dxa"/>
            <w:gridSpan w:val="2"/>
            <w:tcBorders>
              <w:top w:val="single" w:sz="4" w:space="0" w:color="000000"/>
              <w:left w:val="single" w:sz="4" w:space="0" w:color="000000"/>
              <w:bottom w:val="single" w:sz="4" w:space="0" w:color="000000"/>
              <w:right w:val="single" w:sz="4" w:space="0" w:color="000000"/>
            </w:tcBorders>
          </w:tcPr>
          <w:p w14:paraId="4697B05E" w14:textId="52190665" w:rsidR="00515389" w:rsidRPr="006175A1" w:rsidRDefault="00515389" w:rsidP="006175A1">
            <w:pPr>
              <w:spacing w:after="236" w:line="269" w:lineRule="auto"/>
              <w:rPr>
                <w:rFonts w:asciiTheme="minorHAnsi" w:eastAsia="Arial" w:hAnsiTheme="minorHAnsi" w:cstheme="minorHAnsi"/>
              </w:rPr>
            </w:pPr>
            <w:r w:rsidRPr="008B7046">
              <w:rPr>
                <w:rFonts w:asciiTheme="minorHAnsi" w:eastAsia="Arial" w:hAnsiTheme="minorHAnsi" w:cstheme="minorHAnsi"/>
                <w:color w:val="333333"/>
              </w:rPr>
              <w:t xml:space="preserve">Interested parties </w:t>
            </w:r>
            <w:r w:rsidRPr="008B7046">
              <w:rPr>
                <w:rFonts w:asciiTheme="minorHAnsi" w:eastAsia="Arial" w:hAnsiTheme="minorHAnsi" w:cstheme="minorHAnsi"/>
                <w:b/>
                <w:color w:val="333333"/>
              </w:rPr>
              <w:t xml:space="preserve">must submit a soft copy of their application by email </w:t>
            </w:r>
            <w:r w:rsidRPr="008B7046">
              <w:rPr>
                <w:rFonts w:asciiTheme="minorHAnsi" w:eastAsia="Arial" w:hAnsiTheme="minorHAnsi" w:cstheme="minorHAnsi"/>
              </w:rPr>
              <w:t xml:space="preserve">to </w:t>
            </w:r>
            <w:hyperlink r:id="rId7" w:history="1">
              <w:r w:rsidR="006175A1" w:rsidRPr="009A0DFE">
                <w:rPr>
                  <w:rStyle w:val="Hyperlink"/>
                  <w:rFonts w:asciiTheme="minorHAnsi" w:eastAsia="Arial" w:hAnsiTheme="minorHAnsi" w:cstheme="minorHAnsi"/>
                  <w:b/>
                  <w:bCs/>
                </w:rPr>
                <w:t>cwilliams@ippf.org</w:t>
              </w:r>
            </w:hyperlink>
            <w:r w:rsidR="006175A1">
              <w:rPr>
                <w:rFonts w:asciiTheme="minorHAnsi" w:eastAsia="Arial" w:hAnsiTheme="minorHAnsi" w:cstheme="minorHAnsi"/>
                <w:b/>
                <w:bCs/>
                <w:color w:val="4F81BD"/>
              </w:rPr>
              <w:t xml:space="preserve"> </w:t>
            </w:r>
            <w:r w:rsidRPr="006175A1">
              <w:rPr>
                <w:rFonts w:asciiTheme="minorHAnsi" w:eastAsia="Arial" w:hAnsiTheme="minorHAnsi" w:cstheme="minorHAnsi"/>
                <w:b/>
                <w:bCs/>
                <w:color w:val="FF0000"/>
              </w:rPr>
              <w:t xml:space="preserve">The deadline for submissions is 18 December 2023 by 23.59hrs GMT. </w:t>
            </w:r>
            <w:r w:rsidRPr="008B7046">
              <w:rPr>
                <w:rFonts w:asciiTheme="minorHAnsi" w:eastAsia="Arial" w:hAnsiTheme="minorHAnsi" w:cstheme="minorHAnsi"/>
                <w:color w:val="333333"/>
              </w:rPr>
              <w:t xml:space="preserve">Those interested should provide the information below demonstrating their capabilities and indicating availability and preferred region to work from. </w:t>
            </w:r>
          </w:p>
        </w:tc>
      </w:tr>
      <w:tr w:rsidR="00515389" w:rsidRPr="00FA5229" w14:paraId="499D3EB9" w14:textId="77777777" w:rsidTr="006175A1">
        <w:tblPrEx>
          <w:tblCellMar>
            <w:top w:w="4" w:type="dxa"/>
            <w:left w:w="0" w:type="dxa"/>
            <w:bottom w:w="4" w:type="dxa"/>
          </w:tblCellMar>
        </w:tblPrEx>
        <w:trPr>
          <w:trHeight w:val="862"/>
        </w:trPr>
        <w:tc>
          <w:tcPr>
            <w:tcW w:w="1970" w:type="dxa"/>
            <w:vMerge/>
            <w:tcBorders>
              <w:left w:val="single" w:sz="4" w:space="0" w:color="000000"/>
              <w:right w:val="single" w:sz="4" w:space="0" w:color="auto"/>
            </w:tcBorders>
          </w:tcPr>
          <w:p w14:paraId="64F2D9F6"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53A0ADA0" w14:textId="77777777" w:rsidR="00515389" w:rsidRPr="00BD1E4C" w:rsidRDefault="00515389" w:rsidP="00515389">
            <w:pPr>
              <w:ind w:left="127"/>
              <w:jc w:val="center"/>
              <w:rPr>
                <w:rFonts w:asciiTheme="minorHAnsi" w:hAnsiTheme="minorHAnsi" w:cstheme="minorHAnsi"/>
                <w:b/>
                <w:bCs/>
              </w:rPr>
            </w:pPr>
            <w:r w:rsidRPr="00BD1E4C">
              <w:rPr>
                <w:rFonts w:asciiTheme="minorHAnsi" w:eastAsia="Arial" w:hAnsiTheme="minorHAnsi" w:cstheme="minorHAnsi"/>
                <w:b/>
                <w:bCs/>
                <w:color w:val="333333"/>
                <w:sz w:val="20"/>
              </w:rPr>
              <w:t xml:space="preserve">i. </w:t>
            </w:r>
          </w:p>
        </w:tc>
        <w:tc>
          <w:tcPr>
            <w:tcW w:w="7501" w:type="dxa"/>
            <w:tcBorders>
              <w:top w:val="single" w:sz="4" w:space="0" w:color="000000"/>
              <w:left w:val="single" w:sz="4" w:space="0" w:color="auto"/>
              <w:bottom w:val="nil"/>
              <w:right w:val="single" w:sz="4" w:space="0" w:color="000000"/>
            </w:tcBorders>
            <w:vAlign w:val="bottom"/>
          </w:tcPr>
          <w:p w14:paraId="5631A53F" w14:textId="74CCD685" w:rsidR="00515389" w:rsidRPr="00BD1E4C" w:rsidRDefault="00515389" w:rsidP="00515389">
            <w:pPr>
              <w:rPr>
                <w:rFonts w:asciiTheme="minorHAnsi" w:hAnsiTheme="minorHAnsi" w:cstheme="minorHAnsi"/>
              </w:rPr>
            </w:pPr>
            <w:r w:rsidRPr="00BD1E4C">
              <w:rPr>
                <w:rFonts w:asciiTheme="minorHAnsi" w:eastAsia="Arial" w:hAnsiTheme="minorHAnsi" w:cstheme="minorHAnsi"/>
                <w:color w:val="333333"/>
              </w:rPr>
              <w:t xml:space="preserve">Evidence of working with </w:t>
            </w:r>
            <w:r w:rsidRPr="00BD1E4C">
              <w:rPr>
                <w:rFonts w:asciiTheme="minorHAnsi" w:eastAsia="Arial" w:hAnsiTheme="minorHAnsi" w:cstheme="minorHAnsi"/>
              </w:rPr>
              <w:t>not-for-profit organizations/ International Non-Governmental Organizations (NGO)</w:t>
            </w:r>
            <w:r w:rsidRPr="00BD1E4C">
              <w:rPr>
                <w:rFonts w:asciiTheme="minorHAnsi" w:eastAsia="Arial" w:hAnsiTheme="minorHAnsi" w:cstheme="minorHAnsi"/>
                <w:color w:val="333333"/>
              </w:rPr>
              <w:t xml:space="preserve">, to include names and contacts of key persons to authenticate experience. </w:t>
            </w:r>
          </w:p>
        </w:tc>
      </w:tr>
      <w:tr w:rsidR="00515389" w:rsidRPr="00FA5229" w14:paraId="4A1B8E4F" w14:textId="77777777" w:rsidTr="006175A1">
        <w:tblPrEx>
          <w:tblCellMar>
            <w:top w:w="4" w:type="dxa"/>
            <w:left w:w="0" w:type="dxa"/>
            <w:bottom w:w="4" w:type="dxa"/>
          </w:tblCellMar>
        </w:tblPrEx>
        <w:trPr>
          <w:trHeight w:val="461"/>
        </w:trPr>
        <w:tc>
          <w:tcPr>
            <w:tcW w:w="1970" w:type="dxa"/>
            <w:vMerge/>
            <w:tcBorders>
              <w:left w:val="single" w:sz="4" w:space="0" w:color="000000"/>
              <w:right w:val="single" w:sz="4" w:space="0" w:color="auto"/>
            </w:tcBorders>
          </w:tcPr>
          <w:p w14:paraId="307C1B12"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24274F8B" w14:textId="77777777" w:rsidR="00515389" w:rsidRPr="00BD1E4C" w:rsidRDefault="00515389" w:rsidP="00515389">
            <w:pPr>
              <w:ind w:left="84"/>
              <w:jc w:val="center"/>
              <w:rPr>
                <w:rFonts w:asciiTheme="minorHAnsi" w:hAnsiTheme="minorHAnsi" w:cstheme="minorHAnsi"/>
                <w:b/>
                <w:bCs/>
              </w:rPr>
            </w:pPr>
            <w:r w:rsidRPr="00BD1E4C">
              <w:rPr>
                <w:rFonts w:asciiTheme="minorHAnsi" w:eastAsia="Arial" w:hAnsiTheme="minorHAnsi" w:cstheme="minorHAnsi"/>
                <w:b/>
                <w:bCs/>
                <w:color w:val="333333"/>
                <w:sz w:val="20"/>
              </w:rPr>
              <w:t xml:space="preserve">ii. </w:t>
            </w:r>
          </w:p>
        </w:tc>
        <w:tc>
          <w:tcPr>
            <w:tcW w:w="7501" w:type="dxa"/>
            <w:tcBorders>
              <w:top w:val="nil"/>
              <w:left w:val="single" w:sz="4" w:space="0" w:color="auto"/>
              <w:bottom w:val="nil"/>
              <w:right w:val="single" w:sz="4" w:space="0" w:color="000000"/>
            </w:tcBorders>
          </w:tcPr>
          <w:p w14:paraId="13233E59" w14:textId="77777777" w:rsidR="00515389" w:rsidRPr="00BD1E4C" w:rsidRDefault="00515389" w:rsidP="00515389">
            <w:pPr>
              <w:rPr>
                <w:rFonts w:asciiTheme="minorHAnsi" w:hAnsiTheme="minorHAnsi" w:cstheme="minorHAnsi"/>
              </w:rPr>
            </w:pPr>
            <w:r w:rsidRPr="00BD1E4C">
              <w:rPr>
                <w:rFonts w:asciiTheme="minorHAnsi" w:eastAsia="Arial" w:hAnsiTheme="minorHAnsi" w:cstheme="minorHAnsi"/>
                <w:color w:val="333333"/>
              </w:rPr>
              <w:t xml:space="preserve">Summary statement indicating core competences of the individual or expertise of firm; (max three pages) </w:t>
            </w:r>
          </w:p>
        </w:tc>
      </w:tr>
      <w:tr w:rsidR="00515389" w:rsidRPr="00FA5229" w14:paraId="7C802C50" w14:textId="77777777" w:rsidTr="006175A1">
        <w:tblPrEx>
          <w:tblCellMar>
            <w:top w:w="4" w:type="dxa"/>
            <w:left w:w="0" w:type="dxa"/>
            <w:bottom w:w="4" w:type="dxa"/>
          </w:tblCellMar>
        </w:tblPrEx>
        <w:trPr>
          <w:trHeight w:val="461"/>
        </w:trPr>
        <w:tc>
          <w:tcPr>
            <w:tcW w:w="1970" w:type="dxa"/>
            <w:vMerge/>
            <w:tcBorders>
              <w:left w:val="single" w:sz="4" w:space="0" w:color="000000"/>
              <w:right w:val="single" w:sz="4" w:space="0" w:color="auto"/>
            </w:tcBorders>
          </w:tcPr>
          <w:p w14:paraId="1E2F4C76"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17950397" w14:textId="77777777" w:rsidR="00515389" w:rsidRPr="00BD1E4C" w:rsidRDefault="00515389" w:rsidP="00515389">
            <w:pPr>
              <w:ind w:left="38"/>
              <w:jc w:val="center"/>
              <w:rPr>
                <w:rFonts w:asciiTheme="minorHAnsi" w:hAnsiTheme="minorHAnsi" w:cstheme="minorHAnsi"/>
                <w:b/>
                <w:bCs/>
              </w:rPr>
            </w:pPr>
            <w:r w:rsidRPr="00BD1E4C">
              <w:rPr>
                <w:rFonts w:asciiTheme="minorHAnsi" w:eastAsia="Arial" w:hAnsiTheme="minorHAnsi" w:cstheme="minorHAnsi"/>
                <w:b/>
                <w:bCs/>
                <w:color w:val="333333"/>
                <w:sz w:val="20"/>
              </w:rPr>
              <w:t xml:space="preserve">iii. </w:t>
            </w:r>
          </w:p>
        </w:tc>
        <w:tc>
          <w:tcPr>
            <w:tcW w:w="7501" w:type="dxa"/>
            <w:tcBorders>
              <w:top w:val="nil"/>
              <w:left w:val="single" w:sz="4" w:space="0" w:color="auto"/>
              <w:bottom w:val="nil"/>
              <w:right w:val="single" w:sz="4" w:space="0" w:color="000000"/>
            </w:tcBorders>
          </w:tcPr>
          <w:p w14:paraId="4AB77E96" w14:textId="38F28BE9" w:rsidR="00515389" w:rsidRPr="00BD1E4C" w:rsidRDefault="00515389" w:rsidP="00515389">
            <w:pPr>
              <w:rPr>
                <w:rFonts w:asciiTheme="minorHAnsi" w:hAnsiTheme="minorHAnsi" w:cstheme="minorHAnsi"/>
              </w:rPr>
            </w:pPr>
            <w:r w:rsidRPr="00BD1E4C">
              <w:rPr>
                <w:rFonts w:asciiTheme="minorHAnsi" w:eastAsia="Arial" w:hAnsiTheme="minorHAnsi" w:cstheme="minorHAnsi"/>
                <w:color w:val="333333"/>
              </w:rPr>
              <w:t>List, with brief description</w:t>
            </w:r>
            <w:r w:rsidR="006175A1">
              <w:rPr>
                <w:rFonts w:asciiTheme="minorHAnsi" w:eastAsia="Arial" w:hAnsiTheme="minorHAnsi" w:cstheme="minorHAnsi"/>
                <w:color w:val="333333"/>
              </w:rPr>
              <w:t xml:space="preserve"> for each,</w:t>
            </w:r>
            <w:r>
              <w:rPr>
                <w:rFonts w:asciiTheme="minorHAnsi" w:eastAsia="Arial" w:hAnsiTheme="minorHAnsi" w:cstheme="minorHAnsi"/>
                <w:color w:val="333333"/>
              </w:rPr>
              <w:t xml:space="preserve"> the number of the number of investigations </w:t>
            </w:r>
            <w:r w:rsidRPr="00BD1E4C">
              <w:rPr>
                <w:rFonts w:asciiTheme="minorHAnsi" w:eastAsia="Arial" w:hAnsiTheme="minorHAnsi" w:cstheme="minorHAnsi"/>
                <w:color w:val="333333"/>
              </w:rPr>
              <w:t xml:space="preserve">completed in the last </w:t>
            </w:r>
            <w:r w:rsidR="006175A1">
              <w:rPr>
                <w:rFonts w:asciiTheme="minorHAnsi" w:eastAsia="Arial" w:hAnsiTheme="minorHAnsi" w:cstheme="minorHAnsi"/>
                <w:color w:val="333333"/>
              </w:rPr>
              <w:t xml:space="preserve">two </w:t>
            </w:r>
            <w:r w:rsidRPr="00BD1E4C">
              <w:rPr>
                <w:rFonts w:asciiTheme="minorHAnsi" w:eastAsia="Arial" w:hAnsiTheme="minorHAnsi" w:cstheme="minorHAnsi"/>
                <w:color w:val="333333"/>
              </w:rPr>
              <w:t>consecutive years</w:t>
            </w:r>
            <w:r w:rsidR="006175A1">
              <w:rPr>
                <w:rFonts w:asciiTheme="minorHAnsi" w:eastAsia="Arial" w:hAnsiTheme="minorHAnsi" w:cstheme="minorHAnsi"/>
                <w:color w:val="333333"/>
              </w:rPr>
              <w:t xml:space="preserve"> - </w:t>
            </w:r>
            <w:r w:rsidRPr="00BD1E4C">
              <w:rPr>
                <w:rFonts w:asciiTheme="minorHAnsi" w:eastAsia="Arial" w:hAnsiTheme="minorHAnsi" w:cstheme="minorHAnsi"/>
                <w:color w:val="333333"/>
              </w:rPr>
              <w:t>max three pages</w:t>
            </w:r>
            <w:r w:rsidR="006175A1">
              <w:rPr>
                <w:rFonts w:asciiTheme="minorHAnsi" w:eastAsia="Arial" w:hAnsiTheme="minorHAnsi" w:cstheme="minorHAnsi"/>
                <w:color w:val="333333"/>
              </w:rPr>
              <w:t xml:space="preserve"> - and the location of these.</w:t>
            </w:r>
          </w:p>
        </w:tc>
      </w:tr>
      <w:tr w:rsidR="00515389" w:rsidRPr="00FA5229" w14:paraId="4FF8BD6F" w14:textId="77777777" w:rsidTr="006175A1">
        <w:tblPrEx>
          <w:tblCellMar>
            <w:top w:w="4" w:type="dxa"/>
            <w:left w:w="0" w:type="dxa"/>
            <w:bottom w:w="4" w:type="dxa"/>
          </w:tblCellMar>
        </w:tblPrEx>
        <w:trPr>
          <w:trHeight w:val="458"/>
        </w:trPr>
        <w:tc>
          <w:tcPr>
            <w:tcW w:w="1970" w:type="dxa"/>
            <w:vMerge/>
            <w:tcBorders>
              <w:left w:val="single" w:sz="4" w:space="0" w:color="000000"/>
              <w:right w:val="single" w:sz="4" w:space="0" w:color="auto"/>
            </w:tcBorders>
          </w:tcPr>
          <w:p w14:paraId="5C30E183"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5A484085" w14:textId="77777777" w:rsidR="00515389" w:rsidRPr="00BD1E4C" w:rsidRDefault="00515389" w:rsidP="00515389">
            <w:pPr>
              <w:ind w:left="31"/>
              <w:jc w:val="center"/>
              <w:rPr>
                <w:rFonts w:asciiTheme="minorHAnsi" w:hAnsiTheme="minorHAnsi" w:cstheme="minorHAnsi"/>
                <w:b/>
                <w:bCs/>
              </w:rPr>
            </w:pPr>
            <w:r w:rsidRPr="00BD1E4C">
              <w:rPr>
                <w:rFonts w:asciiTheme="minorHAnsi" w:eastAsia="Arial" w:hAnsiTheme="minorHAnsi" w:cstheme="minorHAnsi"/>
                <w:b/>
                <w:bCs/>
                <w:color w:val="333333"/>
                <w:sz w:val="20"/>
              </w:rPr>
              <w:t xml:space="preserve">iv. </w:t>
            </w:r>
          </w:p>
        </w:tc>
        <w:tc>
          <w:tcPr>
            <w:tcW w:w="7501" w:type="dxa"/>
            <w:tcBorders>
              <w:top w:val="nil"/>
              <w:left w:val="single" w:sz="4" w:space="0" w:color="auto"/>
              <w:bottom w:val="nil"/>
              <w:right w:val="single" w:sz="4" w:space="0" w:color="000000"/>
            </w:tcBorders>
          </w:tcPr>
          <w:p w14:paraId="20E017AB" w14:textId="0DB12875" w:rsidR="00515389" w:rsidRPr="00BD1E4C" w:rsidRDefault="00515389" w:rsidP="00515389">
            <w:pPr>
              <w:rPr>
                <w:rFonts w:asciiTheme="minorHAnsi" w:hAnsiTheme="minorHAnsi" w:cstheme="minorHAnsi"/>
              </w:rPr>
            </w:pPr>
            <w:r w:rsidRPr="00BD1E4C">
              <w:rPr>
                <w:rFonts w:asciiTheme="minorHAnsi" w:eastAsia="Arial" w:hAnsiTheme="minorHAnsi" w:cstheme="minorHAnsi"/>
                <w:color w:val="333333"/>
              </w:rPr>
              <w:t xml:space="preserve">Names and contact details of at least three clients in respect of similar projects delivered in the last </w:t>
            </w:r>
            <w:r>
              <w:rPr>
                <w:rFonts w:asciiTheme="minorHAnsi" w:eastAsia="Arial" w:hAnsiTheme="minorHAnsi" w:cstheme="minorHAnsi"/>
                <w:color w:val="333333"/>
              </w:rPr>
              <w:t>2</w:t>
            </w:r>
            <w:r w:rsidRPr="00BD1E4C">
              <w:rPr>
                <w:rFonts w:asciiTheme="minorHAnsi" w:eastAsia="Arial" w:hAnsiTheme="minorHAnsi" w:cstheme="minorHAnsi"/>
                <w:color w:val="333333"/>
              </w:rPr>
              <w:t xml:space="preserve"> years for reference checking purposes. </w:t>
            </w:r>
          </w:p>
        </w:tc>
      </w:tr>
      <w:tr w:rsidR="00515389" w:rsidRPr="00FA5229" w14:paraId="10A0FBAC" w14:textId="77777777" w:rsidTr="006175A1">
        <w:tblPrEx>
          <w:tblCellMar>
            <w:top w:w="4" w:type="dxa"/>
            <w:left w:w="0" w:type="dxa"/>
            <w:bottom w:w="4" w:type="dxa"/>
          </w:tblCellMar>
        </w:tblPrEx>
        <w:trPr>
          <w:trHeight w:val="461"/>
        </w:trPr>
        <w:tc>
          <w:tcPr>
            <w:tcW w:w="1970" w:type="dxa"/>
            <w:vMerge/>
            <w:tcBorders>
              <w:left w:val="single" w:sz="4" w:space="0" w:color="000000"/>
              <w:right w:val="single" w:sz="4" w:space="0" w:color="auto"/>
            </w:tcBorders>
          </w:tcPr>
          <w:p w14:paraId="14881BA6"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44997E5B" w14:textId="77777777" w:rsidR="00515389" w:rsidRPr="00BD1E4C" w:rsidRDefault="00515389" w:rsidP="00515389">
            <w:pPr>
              <w:ind w:left="75"/>
              <w:jc w:val="center"/>
              <w:rPr>
                <w:rFonts w:asciiTheme="minorHAnsi" w:hAnsiTheme="minorHAnsi" w:cstheme="minorHAnsi"/>
                <w:b/>
                <w:bCs/>
              </w:rPr>
            </w:pPr>
            <w:r w:rsidRPr="00BD1E4C">
              <w:rPr>
                <w:rFonts w:asciiTheme="minorHAnsi" w:eastAsia="Arial" w:hAnsiTheme="minorHAnsi" w:cstheme="minorHAnsi"/>
                <w:b/>
                <w:bCs/>
                <w:color w:val="333333"/>
                <w:sz w:val="20"/>
              </w:rPr>
              <w:t xml:space="preserve">v. </w:t>
            </w:r>
          </w:p>
        </w:tc>
        <w:tc>
          <w:tcPr>
            <w:tcW w:w="7501" w:type="dxa"/>
            <w:tcBorders>
              <w:top w:val="nil"/>
              <w:left w:val="single" w:sz="4" w:space="0" w:color="auto"/>
              <w:bottom w:val="nil"/>
              <w:right w:val="single" w:sz="4" w:space="0" w:color="000000"/>
            </w:tcBorders>
          </w:tcPr>
          <w:p w14:paraId="4F9134BC" w14:textId="75382445" w:rsidR="00515389" w:rsidRPr="00BD1E4C" w:rsidRDefault="00515389" w:rsidP="00515389">
            <w:pPr>
              <w:rPr>
                <w:rFonts w:asciiTheme="minorHAnsi" w:hAnsiTheme="minorHAnsi" w:cstheme="minorHAnsi"/>
              </w:rPr>
            </w:pPr>
            <w:r w:rsidRPr="00BD1E4C">
              <w:rPr>
                <w:rFonts w:asciiTheme="minorHAnsi" w:eastAsia="Arial" w:hAnsiTheme="minorHAnsi" w:cstheme="minorHAnsi"/>
                <w:color w:val="333333"/>
              </w:rPr>
              <w:t>CV indicating key qualifications and expertise should be provided for all proposed consultant</w:t>
            </w:r>
            <w:r w:rsidR="006175A1">
              <w:rPr>
                <w:rFonts w:asciiTheme="minorHAnsi" w:eastAsia="Arial" w:hAnsiTheme="minorHAnsi" w:cstheme="minorHAnsi"/>
                <w:color w:val="333333"/>
              </w:rPr>
              <w:t>s - m</w:t>
            </w:r>
            <w:r w:rsidRPr="00BD1E4C">
              <w:rPr>
                <w:rFonts w:asciiTheme="minorHAnsi" w:eastAsia="Arial" w:hAnsiTheme="minorHAnsi" w:cstheme="minorHAnsi"/>
                <w:color w:val="333333"/>
              </w:rPr>
              <w:t xml:space="preserve">ax </w:t>
            </w:r>
            <w:r w:rsidR="006175A1">
              <w:rPr>
                <w:rFonts w:asciiTheme="minorHAnsi" w:eastAsia="Arial" w:hAnsiTheme="minorHAnsi" w:cstheme="minorHAnsi"/>
                <w:color w:val="333333"/>
              </w:rPr>
              <w:t xml:space="preserve">two </w:t>
            </w:r>
            <w:r w:rsidRPr="00BD1E4C">
              <w:rPr>
                <w:rFonts w:asciiTheme="minorHAnsi" w:eastAsia="Arial" w:hAnsiTheme="minorHAnsi" w:cstheme="minorHAnsi"/>
                <w:color w:val="333333"/>
              </w:rPr>
              <w:t>pages</w:t>
            </w:r>
            <w:r w:rsidR="006175A1">
              <w:rPr>
                <w:rFonts w:asciiTheme="minorHAnsi" w:eastAsia="Arial" w:hAnsiTheme="minorHAnsi" w:cstheme="minorHAnsi"/>
                <w:color w:val="333333"/>
              </w:rPr>
              <w:t xml:space="preserve"> for each individual.</w:t>
            </w:r>
            <w:r w:rsidRPr="00BD1E4C">
              <w:rPr>
                <w:rFonts w:asciiTheme="minorHAnsi" w:eastAsia="Arial" w:hAnsiTheme="minorHAnsi" w:cstheme="minorHAnsi"/>
                <w:color w:val="333333"/>
              </w:rPr>
              <w:t xml:space="preserve"> </w:t>
            </w:r>
          </w:p>
        </w:tc>
      </w:tr>
      <w:tr w:rsidR="00515389" w:rsidRPr="00FA5229" w14:paraId="1ECC669F" w14:textId="77777777" w:rsidTr="006175A1">
        <w:tblPrEx>
          <w:tblCellMar>
            <w:top w:w="4" w:type="dxa"/>
            <w:left w:w="0" w:type="dxa"/>
            <w:bottom w:w="4" w:type="dxa"/>
          </w:tblCellMar>
        </w:tblPrEx>
        <w:trPr>
          <w:trHeight w:val="557"/>
        </w:trPr>
        <w:tc>
          <w:tcPr>
            <w:tcW w:w="1970" w:type="dxa"/>
            <w:vMerge/>
            <w:tcBorders>
              <w:left w:val="single" w:sz="4" w:space="0" w:color="000000"/>
              <w:bottom w:val="single" w:sz="4" w:space="0" w:color="000000"/>
              <w:right w:val="single" w:sz="4" w:space="0" w:color="auto"/>
            </w:tcBorders>
          </w:tcPr>
          <w:p w14:paraId="0AE3B421" w14:textId="77777777" w:rsidR="00515389" w:rsidRPr="00FA5229" w:rsidRDefault="00515389" w:rsidP="00515389">
            <w:pPr>
              <w:rPr>
                <w:rFonts w:asciiTheme="minorHAnsi" w:hAnsiTheme="minorHAnsi" w:cstheme="minorHAnsi"/>
              </w:rPr>
            </w:pPr>
          </w:p>
        </w:tc>
        <w:tc>
          <w:tcPr>
            <w:tcW w:w="450" w:type="dxa"/>
            <w:tcBorders>
              <w:top w:val="single" w:sz="4" w:space="0" w:color="auto"/>
              <w:left w:val="single" w:sz="4" w:space="0" w:color="auto"/>
              <w:bottom w:val="single" w:sz="4" w:space="0" w:color="auto"/>
              <w:right w:val="single" w:sz="4" w:space="0" w:color="auto"/>
            </w:tcBorders>
          </w:tcPr>
          <w:p w14:paraId="5C8203C5" w14:textId="77777777" w:rsidR="00515389" w:rsidRPr="00BD1E4C" w:rsidRDefault="00515389" w:rsidP="00515389">
            <w:pPr>
              <w:ind w:left="31"/>
              <w:jc w:val="center"/>
              <w:rPr>
                <w:rFonts w:asciiTheme="minorHAnsi" w:hAnsiTheme="minorHAnsi" w:cstheme="minorHAnsi"/>
                <w:b/>
                <w:bCs/>
              </w:rPr>
            </w:pPr>
            <w:r w:rsidRPr="00BD1E4C">
              <w:rPr>
                <w:rFonts w:asciiTheme="minorHAnsi" w:eastAsia="Arial" w:hAnsiTheme="minorHAnsi" w:cstheme="minorHAnsi"/>
                <w:b/>
                <w:bCs/>
                <w:sz w:val="20"/>
              </w:rPr>
              <w:t xml:space="preserve">vi. </w:t>
            </w:r>
          </w:p>
        </w:tc>
        <w:tc>
          <w:tcPr>
            <w:tcW w:w="7501" w:type="dxa"/>
            <w:tcBorders>
              <w:top w:val="nil"/>
              <w:left w:val="single" w:sz="4" w:space="0" w:color="auto"/>
              <w:bottom w:val="single" w:sz="4" w:space="0" w:color="000000"/>
              <w:right w:val="single" w:sz="4" w:space="0" w:color="000000"/>
            </w:tcBorders>
          </w:tcPr>
          <w:p w14:paraId="02D775BC" w14:textId="77777777" w:rsidR="00515389" w:rsidRPr="00BD1E4C" w:rsidRDefault="00515389" w:rsidP="00515389">
            <w:pPr>
              <w:rPr>
                <w:rFonts w:asciiTheme="minorHAnsi" w:hAnsiTheme="minorHAnsi" w:cstheme="minorHAnsi"/>
              </w:rPr>
            </w:pPr>
            <w:r w:rsidRPr="00BD1E4C">
              <w:rPr>
                <w:rFonts w:asciiTheme="minorHAnsi" w:eastAsia="Arial" w:hAnsiTheme="minorHAnsi" w:cstheme="minorHAnsi"/>
              </w:rPr>
              <w:t xml:space="preserve">Price quote i.e., indicating daily rates and other anticipated costs if any. </w:t>
            </w:r>
          </w:p>
        </w:tc>
      </w:tr>
    </w:tbl>
    <w:p w14:paraId="22899385" w14:textId="77777777" w:rsidR="00BD6710" w:rsidRPr="00FA5229" w:rsidRDefault="00BD6710">
      <w:pPr>
        <w:rPr>
          <w:rFonts w:asciiTheme="minorHAnsi" w:hAnsiTheme="minorHAnsi" w:cstheme="minorHAnsi"/>
        </w:rPr>
      </w:pPr>
    </w:p>
    <w:sectPr w:rsidR="00BD6710" w:rsidRPr="00FA5229" w:rsidSect="00BD1E4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2B9C7" w14:textId="77777777" w:rsidR="003C542D" w:rsidRDefault="003C542D">
      <w:pPr>
        <w:spacing w:after="0" w:line="240" w:lineRule="auto"/>
      </w:pPr>
      <w:r>
        <w:separator/>
      </w:r>
    </w:p>
  </w:endnote>
  <w:endnote w:type="continuationSeparator" w:id="0">
    <w:p w14:paraId="599A83CA" w14:textId="77777777" w:rsidR="003C542D" w:rsidRDefault="003C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FD3A" w14:textId="77777777" w:rsidR="0064489E" w:rsidRDefault="00BD6710">
    <w:pPr>
      <w:spacing w:after="0"/>
      <w:ind w:right="-4"/>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2D38" w14:textId="77777777" w:rsidR="0064489E" w:rsidRDefault="00BD6710">
    <w:pPr>
      <w:spacing w:after="0"/>
      <w:ind w:right="-4"/>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B207" w14:textId="77777777" w:rsidR="0064489E" w:rsidRDefault="00BD6710">
    <w:pPr>
      <w:spacing w:after="0"/>
      <w:ind w:right="-4"/>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2F22" w14:textId="77777777" w:rsidR="003C542D" w:rsidRDefault="003C542D">
      <w:pPr>
        <w:spacing w:after="0" w:line="240" w:lineRule="auto"/>
      </w:pPr>
      <w:r>
        <w:separator/>
      </w:r>
    </w:p>
  </w:footnote>
  <w:footnote w:type="continuationSeparator" w:id="0">
    <w:p w14:paraId="7E2DA450" w14:textId="77777777" w:rsidR="003C542D" w:rsidRDefault="003C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6A3" w14:textId="77777777" w:rsidR="0064489E" w:rsidRDefault="00BD6710">
    <w:pPr>
      <w:spacing w:after="0"/>
      <w:ind w:left="-1440" w:right="7141"/>
    </w:pPr>
    <w:r>
      <w:rPr>
        <w:noProof/>
      </w:rPr>
      <w:drawing>
        <wp:anchor distT="0" distB="0" distL="114300" distR="114300" simplePos="0" relativeHeight="251658240" behindDoc="0" locked="0" layoutInCell="1" allowOverlap="0" wp14:anchorId="16BB3F3F" wp14:editId="28761BD2">
          <wp:simplePos x="0" y="0"/>
          <wp:positionH relativeFrom="page">
            <wp:posOffset>914400</wp:posOffset>
          </wp:positionH>
          <wp:positionV relativeFrom="page">
            <wp:posOffset>457200</wp:posOffset>
          </wp:positionV>
          <wp:extent cx="1409192" cy="41148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192" cy="411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2206" w14:textId="77777777" w:rsidR="0064489E" w:rsidRDefault="00BD6710">
    <w:pPr>
      <w:spacing w:after="0"/>
      <w:ind w:left="-1440" w:right="7141"/>
    </w:pPr>
    <w:r>
      <w:rPr>
        <w:noProof/>
      </w:rPr>
      <w:drawing>
        <wp:anchor distT="0" distB="0" distL="114300" distR="114300" simplePos="0" relativeHeight="251659264" behindDoc="0" locked="0" layoutInCell="1" allowOverlap="0" wp14:anchorId="56160926" wp14:editId="2669EA0C">
          <wp:simplePos x="0" y="0"/>
          <wp:positionH relativeFrom="page">
            <wp:posOffset>914400</wp:posOffset>
          </wp:positionH>
          <wp:positionV relativeFrom="page">
            <wp:posOffset>457200</wp:posOffset>
          </wp:positionV>
          <wp:extent cx="1409192" cy="411480"/>
          <wp:effectExtent l="0" t="0" r="0" b="0"/>
          <wp:wrapSquare wrapText="bothSides"/>
          <wp:docPr id="1832388865" name="Picture 183238886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192" cy="4114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0575" w14:textId="77777777" w:rsidR="0064489E" w:rsidRDefault="00BD6710">
    <w:pPr>
      <w:spacing w:after="0"/>
      <w:ind w:left="-1440" w:right="7141"/>
    </w:pPr>
    <w:r>
      <w:rPr>
        <w:noProof/>
      </w:rPr>
      <w:drawing>
        <wp:anchor distT="0" distB="0" distL="114300" distR="114300" simplePos="0" relativeHeight="251660288" behindDoc="0" locked="0" layoutInCell="1" allowOverlap="0" wp14:anchorId="48448FC6" wp14:editId="094C685D">
          <wp:simplePos x="0" y="0"/>
          <wp:positionH relativeFrom="page">
            <wp:posOffset>914400</wp:posOffset>
          </wp:positionH>
          <wp:positionV relativeFrom="page">
            <wp:posOffset>457200</wp:posOffset>
          </wp:positionV>
          <wp:extent cx="1409192" cy="411480"/>
          <wp:effectExtent l="0" t="0" r="0" b="0"/>
          <wp:wrapSquare wrapText="bothSides"/>
          <wp:docPr id="291464682" name="Picture 29146468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09192" cy="411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BD8"/>
    <w:multiLevelType w:val="hybridMultilevel"/>
    <w:tmpl w:val="96EEA716"/>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44F7980"/>
    <w:multiLevelType w:val="hybridMultilevel"/>
    <w:tmpl w:val="30105A70"/>
    <w:lvl w:ilvl="0" w:tplc="6B90FB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C131EF"/>
    <w:multiLevelType w:val="hybridMultilevel"/>
    <w:tmpl w:val="9BE2C2CA"/>
    <w:lvl w:ilvl="0" w:tplc="759448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582D82">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2A0AA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AA539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4ACDF6">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40040">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CA7BD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4C9E4E">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028990">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1AF0A83"/>
    <w:multiLevelType w:val="hybridMultilevel"/>
    <w:tmpl w:val="DE4ED3A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 w15:restartNumberingAfterBreak="0">
    <w:nsid w:val="42B60B94"/>
    <w:multiLevelType w:val="hybridMultilevel"/>
    <w:tmpl w:val="AAE216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3E3D3D"/>
    <w:multiLevelType w:val="hybridMultilevel"/>
    <w:tmpl w:val="2A209294"/>
    <w:lvl w:ilvl="0" w:tplc="A4642970">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2A8AC">
      <w:start w:val="1"/>
      <w:numFmt w:val="lowerLetter"/>
      <w:lvlText w:val="%2"/>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A6AFAC">
      <w:start w:val="1"/>
      <w:numFmt w:val="lowerRoman"/>
      <w:lvlText w:val="%3"/>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E2408E">
      <w:start w:val="1"/>
      <w:numFmt w:val="decimal"/>
      <w:lvlText w:val="%4"/>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5A8C62">
      <w:start w:val="1"/>
      <w:numFmt w:val="lowerLetter"/>
      <w:lvlText w:val="%5"/>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2058FC">
      <w:start w:val="1"/>
      <w:numFmt w:val="lowerRoman"/>
      <w:lvlText w:val="%6"/>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F690C2">
      <w:start w:val="1"/>
      <w:numFmt w:val="decimal"/>
      <w:lvlText w:val="%7"/>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32D436">
      <w:start w:val="1"/>
      <w:numFmt w:val="lowerLetter"/>
      <w:lvlText w:val="%8"/>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C673AA">
      <w:start w:val="1"/>
      <w:numFmt w:val="lowerRoman"/>
      <w:lvlText w:val="%9"/>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1A0DC8"/>
    <w:multiLevelType w:val="hybridMultilevel"/>
    <w:tmpl w:val="D9A8B8B6"/>
    <w:lvl w:ilvl="0" w:tplc="BC9E7912">
      <w:start w:val="1"/>
      <w:numFmt w:val="bullet"/>
      <w:lvlText w:val="▪"/>
      <w:lvlJc w:val="left"/>
      <w:pPr>
        <w:ind w:left="8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2A606AE">
      <w:start w:val="1"/>
      <w:numFmt w:val="bullet"/>
      <w:lvlText w:val="o"/>
      <w:lvlJc w:val="left"/>
      <w:pPr>
        <w:ind w:left="16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F24239E">
      <w:start w:val="1"/>
      <w:numFmt w:val="bullet"/>
      <w:lvlText w:val="▪"/>
      <w:lvlJc w:val="left"/>
      <w:pPr>
        <w:ind w:left="23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B60C5F4">
      <w:start w:val="1"/>
      <w:numFmt w:val="bullet"/>
      <w:lvlText w:val="•"/>
      <w:lvlJc w:val="left"/>
      <w:pPr>
        <w:ind w:left="30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C7AD832">
      <w:start w:val="1"/>
      <w:numFmt w:val="bullet"/>
      <w:lvlText w:val="o"/>
      <w:lvlJc w:val="left"/>
      <w:pPr>
        <w:ind w:left="38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134C3E8">
      <w:start w:val="1"/>
      <w:numFmt w:val="bullet"/>
      <w:lvlText w:val="▪"/>
      <w:lvlJc w:val="left"/>
      <w:pPr>
        <w:ind w:left="45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EA4AC52">
      <w:start w:val="1"/>
      <w:numFmt w:val="bullet"/>
      <w:lvlText w:val="•"/>
      <w:lvlJc w:val="left"/>
      <w:pPr>
        <w:ind w:left="52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758FFAC">
      <w:start w:val="1"/>
      <w:numFmt w:val="bullet"/>
      <w:lvlText w:val="o"/>
      <w:lvlJc w:val="left"/>
      <w:pPr>
        <w:ind w:left="59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3C78B0">
      <w:start w:val="1"/>
      <w:numFmt w:val="bullet"/>
      <w:lvlText w:val="▪"/>
      <w:lvlJc w:val="left"/>
      <w:pPr>
        <w:ind w:left="66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230B7E"/>
    <w:multiLevelType w:val="hybridMultilevel"/>
    <w:tmpl w:val="200277B6"/>
    <w:lvl w:ilvl="0" w:tplc="4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D00D3A"/>
    <w:multiLevelType w:val="hybridMultilevel"/>
    <w:tmpl w:val="18D40564"/>
    <w:lvl w:ilvl="0" w:tplc="2FD45D50">
      <w:start w:val="1"/>
      <w:numFmt w:val="bullet"/>
      <w:lvlText w:val="•"/>
      <w:lvlJc w:val="left"/>
      <w:pPr>
        <w:ind w:left="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EFDDC">
      <w:start w:val="1"/>
      <w:numFmt w:val="bullet"/>
      <w:lvlText w:val="o"/>
      <w:lvlJc w:val="left"/>
      <w:pPr>
        <w:ind w:left="1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A8CF64">
      <w:start w:val="1"/>
      <w:numFmt w:val="bullet"/>
      <w:lvlText w:val="▪"/>
      <w:lvlJc w:val="left"/>
      <w:pPr>
        <w:ind w:left="19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880898">
      <w:start w:val="1"/>
      <w:numFmt w:val="bullet"/>
      <w:lvlText w:val="•"/>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A288C">
      <w:start w:val="1"/>
      <w:numFmt w:val="bullet"/>
      <w:lvlText w:val="o"/>
      <w:lvlJc w:val="left"/>
      <w:pPr>
        <w:ind w:left="3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763AB4">
      <w:start w:val="1"/>
      <w:numFmt w:val="bullet"/>
      <w:lvlText w:val="▪"/>
      <w:lvlJc w:val="left"/>
      <w:pPr>
        <w:ind w:left="4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92C8BE">
      <w:start w:val="1"/>
      <w:numFmt w:val="bullet"/>
      <w:lvlText w:val="•"/>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032BC">
      <w:start w:val="1"/>
      <w:numFmt w:val="bullet"/>
      <w:lvlText w:val="o"/>
      <w:lvlJc w:val="left"/>
      <w:pPr>
        <w:ind w:left="5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64CFEC">
      <w:start w:val="1"/>
      <w:numFmt w:val="bullet"/>
      <w:lvlText w:val="▪"/>
      <w:lvlJc w:val="left"/>
      <w:pPr>
        <w:ind w:left="6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59786924">
    <w:abstractNumId w:val="8"/>
  </w:num>
  <w:num w:numId="2" w16cid:durableId="1131023590">
    <w:abstractNumId w:val="2"/>
  </w:num>
  <w:num w:numId="3" w16cid:durableId="1543128000">
    <w:abstractNumId w:val="5"/>
  </w:num>
  <w:num w:numId="4" w16cid:durableId="436411565">
    <w:abstractNumId w:val="6"/>
  </w:num>
  <w:num w:numId="5" w16cid:durableId="155924864">
    <w:abstractNumId w:val="1"/>
  </w:num>
  <w:num w:numId="6" w16cid:durableId="1135290276">
    <w:abstractNumId w:val="7"/>
  </w:num>
  <w:num w:numId="7" w16cid:durableId="1062286611">
    <w:abstractNumId w:val="0"/>
  </w:num>
  <w:num w:numId="8" w16cid:durableId="1334920294">
    <w:abstractNumId w:val="3"/>
  </w:num>
  <w:num w:numId="9" w16cid:durableId="395127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89E"/>
    <w:rsid w:val="003C542D"/>
    <w:rsid w:val="00515389"/>
    <w:rsid w:val="005D20C7"/>
    <w:rsid w:val="006175A1"/>
    <w:rsid w:val="0064489E"/>
    <w:rsid w:val="008B7046"/>
    <w:rsid w:val="00BD1E4C"/>
    <w:rsid w:val="00BD6710"/>
    <w:rsid w:val="00C7710E"/>
    <w:rsid w:val="00FA5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3A7F"/>
  <w15:docId w15:val="{CA22D95A-B264-41B5-85E5-5E142ADA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D20C7"/>
    <w:pPr>
      <w:ind w:left="720"/>
      <w:contextualSpacing/>
    </w:pPr>
  </w:style>
  <w:style w:type="character" w:styleId="Hyperlink">
    <w:name w:val="Hyperlink"/>
    <w:basedOn w:val="DefaultParagraphFont"/>
    <w:uiPriority w:val="99"/>
    <w:unhideWhenUsed/>
    <w:rsid w:val="006175A1"/>
    <w:rPr>
      <w:color w:val="0563C1" w:themeColor="hyperlink"/>
      <w:u w:val="single"/>
    </w:rPr>
  </w:style>
  <w:style w:type="character" w:styleId="UnresolvedMention">
    <w:name w:val="Unresolved Mention"/>
    <w:basedOn w:val="DefaultParagraphFont"/>
    <w:uiPriority w:val="99"/>
    <w:semiHidden/>
    <w:unhideWhenUsed/>
    <w:rsid w:val="0061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williams@ippf.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Temp</dc:creator>
  <cp:keywords/>
  <cp:lastModifiedBy>Sam Jordan</cp:lastModifiedBy>
  <cp:revision>2</cp:revision>
  <dcterms:created xsi:type="dcterms:W3CDTF">2023-12-04T10:33:00Z</dcterms:created>
  <dcterms:modified xsi:type="dcterms:W3CDTF">2023-12-04T10:33:00Z</dcterms:modified>
</cp:coreProperties>
</file>