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6135" w14:textId="77777777" w:rsidR="002D72FF" w:rsidRPr="00AE1693" w:rsidRDefault="002D72FF" w:rsidP="002D72FF">
      <w:pPr>
        <w:jc w:val="center"/>
        <w:rPr>
          <w:rFonts w:eastAsia="Calibri" w:cstheme="minorHAnsi"/>
          <w:b/>
          <w:bCs/>
          <w:sz w:val="22"/>
          <w:lang w:val="en-US"/>
        </w:rPr>
      </w:pPr>
      <w:r w:rsidRPr="00AE1693">
        <w:rPr>
          <w:rFonts w:eastAsia="Calibri" w:cstheme="minorHAnsi"/>
          <w:b/>
          <w:bCs/>
          <w:sz w:val="22"/>
          <w:lang w:val="en-US"/>
        </w:rPr>
        <w:t>Request for Proposals</w:t>
      </w:r>
    </w:p>
    <w:p w14:paraId="6FBD083D" w14:textId="77777777" w:rsidR="002D72FF" w:rsidRPr="00AE1693" w:rsidRDefault="002D72FF" w:rsidP="002D72FF">
      <w:pPr>
        <w:jc w:val="center"/>
        <w:rPr>
          <w:rFonts w:eastAsia="Calibri" w:cstheme="minorHAnsi"/>
          <w:b/>
          <w:bCs/>
          <w:sz w:val="22"/>
          <w:u w:val="single"/>
          <w:lang w:val="en-US"/>
        </w:rPr>
      </w:pPr>
      <w:r w:rsidRPr="00AE1693">
        <w:rPr>
          <w:rFonts w:eastAsia="Calibri" w:cstheme="minorHAnsi"/>
          <w:b/>
          <w:bCs/>
          <w:sz w:val="22"/>
          <w:u w:val="single"/>
          <w:lang w:val="en-US"/>
        </w:rPr>
        <w:t>IPPF Results Framework Impact Studies</w:t>
      </w:r>
    </w:p>
    <w:p w14:paraId="41F21222" w14:textId="77777777" w:rsidR="002D72FF" w:rsidRDefault="002D72FF" w:rsidP="002D72FF">
      <w:pPr>
        <w:rPr>
          <w:rFonts w:eastAsia="Calibri" w:cstheme="minorHAnsi"/>
          <w:sz w:val="20"/>
          <w:szCs w:val="20"/>
          <w:lang w:val="en-US"/>
        </w:rPr>
      </w:pPr>
      <w:r w:rsidRPr="00AE1693">
        <w:rPr>
          <w:rFonts w:eastAsia="Calibri" w:cstheme="minorHAnsi"/>
          <w:sz w:val="20"/>
          <w:szCs w:val="20"/>
          <w:lang w:val="en-US"/>
        </w:rPr>
        <w:t>Proposals must address all requirements of the Request for Proposals, respecting the formats and guidelines from section 7.</w:t>
      </w:r>
    </w:p>
    <w:p w14:paraId="15FB1167" w14:textId="77777777" w:rsidR="00AE1693" w:rsidRPr="00AE1693" w:rsidRDefault="00AE1693" w:rsidP="002D72FF">
      <w:pPr>
        <w:rPr>
          <w:rFonts w:eastAsia="Calibri" w:cstheme="minorHAnsi"/>
          <w:sz w:val="20"/>
          <w:szCs w:val="20"/>
          <w:lang w:val="en-US"/>
        </w:rPr>
      </w:pPr>
    </w:p>
    <w:tbl>
      <w:tblPr>
        <w:tblW w:w="9015" w:type="dxa"/>
        <w:tblLayout w:type="fixed"/>
        <w:tblLook w:val="0400" w:firstRow="0" w:lastRow="0" w:firstColumn="0" w:lastColumn="0" w:noHBand="0" w:noVBand="1"/>
      </w:tblPr>
      <w:tblGrid>
        <w:gridCol w:w="1975"/>
        <w:gridCol w:w="7040"/>
      </w:tblGrid>
      <w:tr w:rsidR="002D72FF" w:rsidRPr="00AE1693" w14:paraId="6D8B1994"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7EAE737F"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color w:val="000000" w:themeColor="text1"/>
                <w:sz w:val="20"/>
                <w:szCs w:val="20"/>
                <w:lang w:val="en-US"/>
              </w:rPr>
            </w:pPr>
            <w:r w:rsidRPr="00AE1693">
              <w:rPr>
                <w:rFonts w:asciiTheme="minorHAnsi" w:hAnsiTheme="minorHAnsi" w:cstheme="minorHAnsi"/>
                <w:b/>
                <w:bCs/>
                <w:color w:val="000000" w:themeColor="text1"/>
                <w:sz w:val="20"/>
                <w:szCs w:val="20"/>
                <w:lang w:val="en-US"/>
              </w:rPr>
              <w:t xml:space="preserve">Background </w:t>
            </w:r>
          </w:p>
          <w:p w14:paraId="0591C47A" w14:textId="77777777" w:rsidR="002D72FF" w:rsidRPr="00AE1693" w:rsidRDefault="002D72FF" w:rsidP="00434F91">
            <w:pPr>
              <w:spacing w:line="276" w:lineRule="auto"/>
              <w:ind w:left="171" w:hanging="171"/>
              <w:rPr>
                <w:rFonts w:cstheme="minorHAnsi"/>
                <w:sz w:val="20"/>
                <w:szCs w:val="20"/>
              </w:rPr>
            </w:pPr>
            <w:r w:rsidRPr="00AE1693">
              <w:rPr>
                <w:rFonts w:eastAsia="Calibri" w:cstheme="minorHAnsi"/>
                <w:b/>
                <w:bCs/>
                <w:color w:val="000000" w:themeColor="text1"/>
                <w:sz w:val="20"/>
                <w:szCs w:val="20"/>
                <w:lang w:val="en-US"/>
              </w:rPr>
              <w:t xml:space="preserve"> </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442B412E"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b/>
                <w:bCs/>
                <w:sz w:val="20"/>
                <w:szCs w:val="20"/>
                <w:lang w:val="en-US"/>
              </w:rPr>
              <w:t>The International Planned Parenthood Federation (IPPF)</w:t>
            </w:r>
            <w:r w:rsidRPr="00AE1693">
              <w:rPr>
                <w:rFonts w:eastAsia="Calibri" w:cstheme="minorHAnsi"/>
                <w:sz w:val="20"/>
                <w:szCs w:val="20"/>
                <w:lang w:val="en-US"/>
              </w:rPr>
              <w:t xml:space="preserve"> is a global service provider and advocate of sexual and reproductive health and rights (SRHR) for all. IPPF currently works in 151 countries through its national member associations and collaborative partners, supported by a global secretariat. </w:t>
            </w:r>
          </w:p>
          <w:p w14:paraId="4A7058C7"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b/>
                <w:bCs/>
                <w:sz w:val="20"/>
                <w:szCs w:val="20"/>
                <w:lang w:val="en-US"/>
              </w:rPr>
              <w:t>IPPF Member Associations (MAs)</w:t>
            </w:r>
            <w:r w:rsidRPr="00AE1693">
              <w:rPr>
                <w:rFonts w:eastAsia="Calibri" w:cstheme="minorHAnsi"/>
                <w:sz w:val="20"/>
                <w:szCs w:val="20"/>
                <w:lang w:val="en-US"/>
              </w:rPr>
              <w:t xml:space="preserve"> are independent, non-governmental organizations championing the SRHR needs of their local populations, especially the most marginalized. They work with young people, ensuring they are fully literate in the skills they need to manage their health and to engage in safe and fulfilling intimate relationships.</w:t>
            </w:r>
          </w:p>
          <w:p w14:paraId="530AA6AE"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IPPF is currently implementing its </w:t>
            </w:r>
            <w:hyperlink r:id="rId10">
              <w:r w:rsidRPr="00AE1693">
                <w:rPr>
                  <w:rStyle w:val="Hyperlink"/>
                  <w:rFonts w:eastAsia="Calibri" w:cstheme="minorHAnsi"/>
                  <w:sz w:val="20"/>
                  <w:szCs w:val="20"/>
                  <w:lang w:val="en-US"/>
                </w:rPr>
                <w:t>2023-2028 Strategy</w:t>
              </w:r>
            </w:hyperlink>
            <w:r w:rsidRPr="00AE1693">
              <w:rPr>
                <w:rFonts w:eastAsia="Calibri" w:cstheme="minorHAnsi"/>
                <w:sz w:val="20"/>
                <w:szCs w:val="20"/>
                <w:lang w:val="en-US"/>
              </w:rPr>
              <w:t>. As part of the Results Framework which monitors achievements against this Strategy, IPPF is planning to commission a series of research studies to monitor progress and gather learning for three of the indicators in IPPF’s Results Framework. The relevant indicators are:</w:t>
            </w:r>
          </w:p>
          <w:p w14:paraId="5AA939A0" w14:textId="77777777" w:rsidR="002D72FF" w:rsidRPr="00AE1693" w:rsidRDefault="002D72FF" w:rsidP="00434F91">
            <w:pPr>
              <w:spacing w:line="276" w:lineRule="auto"/>
              <w:ind w:left="309"/>
              <w:rPr>
                <w:rFonts w:eastAsia="Calibri" w:cstheme="minorHAnsi"/>
                <w:sz w:val="20"/>
                <w:szCs w:val="20"/>
                <w:lang w:val="en-US"/>
              </w:rPr>
            </w:pPr>
            <w:r w:rsidRPr="00AE1693">
              <w:rPr>
                <w:rFonts w:eastAsia="Calibri" w:cstheme="minorHAnsi"/>
                <w:sz w:val="20"/>
                <w:szCs w:val="20"/>
                <w:u w:val="single"/>
                <w:lang w:val="en-US"/>
              </w:rPr>
              <w:t>Indicator 6</w:t>
            </w:r>
            <w:r w:rsidRPr="00AE1693">
              <w:rPr>
                <w:rFonts w:eastAsia="Calibri" w:cstheme="minorHAnsi"/>
                <w:sz w:val="20"/>
                <w:szCs w:val="20"/>
                <w:lang w:val="en-US"/>
              </w:rPr>
              <w:t>: Shifts in perception and attitudes in relation to gender equality and inclusion across the Federation and the communities we serve.</w:t>
            </w:r>
          </w:p>
          <w:p w14:paraId="291495DA" w14:textId="77777777" w:rsidR="002D72FF" w:rsidRPr="00AE1693" w:rsidRDefault="002D72FF" w:rsidP="00434F91">
            <w:pPr>
              <w:spacing w:line="276" w:lineRule="auto"/>
              <w:ind w:left="309"/>
              <w:rPr>
                <w:rFonts w:eastAsia="Calibri" w:cstheme="minorHAnsi"/>
                <w:sz w:val="20"/>
                <w:szCs w:val="20"/>
                <w:lang w:val="en-US"/>
              </w:rPr>
            </w:pPr>
            <w:r w:rsidRPr="00AE1693">
              <w:rPr>
                <w:rFonts w:eastAsia="Calibri" w:cstheme="minorHAnsi"/>
                <w:sz w:val="20"/>
                <w:szCs w:val="20"/>
                <w:u w:val="single"/>
                <w:lang w:val="en-US"/>
              </w:rPr>
              <w:t>Indicator 7</w:t>
            </w:r>
            <w:r w:rsidRPr="00AE1693">
              <w:rPr>
                <w:rFonts w:eastAsia="Calibri" w:cstheme="minorHAnsi"/>
                <w:sz w:val="20"/>
                <w:szCs w:val="20"/>
                <w:lang w:val="en-US"/>
              </w:rPr>
              <w:t>: Quality, reach and impact of CSE, youth-</w:t>
            </w:r>
            <w:proofErr w:type="spellStart"/>
            <w:r w:rsidRPr="00AE1693">
              <w:rPr>
                <w:rFonts w:eastAsia="Calibri" w:cstheme="minorHAnsi"/>
                <w:sz w:val="20"/>
                <w:szCs w:val="20"/>
                <w:lang w:val="en-US"/>
              </w:rPr>
              <w:t>centred</w:t>
            </w:r>
            <w:proofErr w:type="spellEnd"/>
            <w:r w:rsidRPr="00AE1693">
              <w:rPr>
                <w:rFonts w:eastAsia="Calibri" w:cstheme="minorHAnsi"/>
                <w:sz w:val="20"/>
                <w:szCs w:val="20"/>
                <w:lang w:val="en-US"/>
              </w:rPr>
              <w:t xml:space="preserve"> care, and progress in youth engagement in the Federation.</w:t>
            </w:r>
          </w:p>
          <w:p w14:paraId="15C5A729" w14:textId="77777777" w:rsidR="002D72FF" w:rsidRPr="00AE1693" w:rsidRDefault="002D72FF" w:rsidP="00434F91">
            <w:pPr>
              <w:spacing w:line="276" w:lineRule="auto"/>
              <w:ind w:left="309"/>
              <w:rPr>
                <w:rFonts w:eastAsia="Calibri" w:cstheme="minorHAnsi"/>
                <w:sz w:val="20"/>
                <w:szCs w:val="20"/>
                <w:lang w:val="en-US"/>
              </w:rPr>
            </w:pPr>
            <w:r w:rsidRPr="00AE1693">
              <w:rPr>
                <w:rFonts w:eastAsia="Calibri" w:cstheme="minorHAnsi"/>
                <w:sz w:val="20"/>
                <w:szCs w:val="20"/>
                <w:u w:val="single"/>
                <w:lang w:val="en-US"/>
              </w:rPr>
              <w:t>Indicator 8</w:t>
            </w:r>
            <w:r w:rsidRPr="00AE1693">
              <w:rPr>
                <w:rFonts w:eastAsia="Calibri" w:cstheme="minorHAnsi"/>
                <w:sz w:val="20"/>
                <w:szCs w:val="20"/>
                <w:lang w:val="en-US"/>
              </w:rPr>
              <w:t>: IPPF's contribution in supporting social movements and defending activists.</w:t>
            </w:r>
          </w:p>
          <w:p w14:paraId="5AAA9700"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For each indicator, a set of proposed research questions has been identified and a sample of countries selected. Each study will be carried out on an initial basis in the first half of 2024, and then repeated at intervals throughout the period of the IPPF Strategy, up to 2028, so that each study is carried out up to three times in total. Research briefs for each Indicator covering the work to be carried out and the sample of countries / member associations selected are attached in Annex 1.</w:t>
            </w:r>
          </w:p>
          <w:p w14:paraId="5D6FC34C"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Monitoring progress against these indicators is an important undertaking for IPPF, as they represent significant pathways to demonstrate how IPPF is achieving its goals and objectives from the Strategy in these areas of work and to gather learning to strengthen impact. Results will be reported in IPPF’s Annual Performance Report and will be disseminated internally and externally through other channels. </w:t>
            </w:r>
          </w:p>
          <w:p w14:paraId="23A434D2" w14:textId="77777777" w:rsidR="002D72FF" w:rsidRPr="00AE1693" w:rsidRDefault="002D72FF" w:rsidP="00434F91">
            <w:pPr>
              <w:spacing w:line="276" w:lineRule="auto"/>
              <w:rPr>
                <w:rFonts w:eastAsia="Calibri" w:cstheme="minorHAnsi"/>
                <w:i/>
                <w:iCs/>
                <w:sz w:val="20"/>
                <w:szCs w:val="20"/>
                <w:lang w:val="en-US"/>
              </w:rPr>
            </w:pPr>
          </w:p>
        </w:tc>
      </w:tr>
      <w:tr w:rsidR="002D72FF" w:rsidRPr="00AE1693" w14:paraId="3E4CDDDC"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0C6132F0"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color w:val="000000" w:themeColor="text1"/>
                <w:sz w:val="20"/>
                <w:szCs w:val="20"/>
                <w:lang w:val="en-US"/>
              </w:rPr>
            </w:pPr>
            <w:r w:rsidRPr="00AE1693">
              <w:rPr>
                <w:rFonts w:asciiTheme="minorHAnsi" w:hAnsiTheme="minorHAnsi" w:cstheme="minorHAnsi"/>
                <w:b/>
                <w:bCs/>
                <w:color w:val="000000" w:themeColor="text1"/>
                <w:sz w:val="20"/>
                <w:szCs w:val="20"/>
                <w:lang w:val="en-US"/>
              </w:rPr>
              <w:t>Scope of Work</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07EBD185"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u w:val="single"/>
                <w:lang w:val="en-US"/>
              </w:rPr>
              <w:t>Contract Purpose</w:t>
            </w:r>
            <w:r w:rsidRPr="00AE1693">
              <w:rPr>
                <w:rFonts w:eastAsia="Calibri" w:cstheme="minorHAnsi"/>
                <w:sz w:val="20"/>
                <w:szCs w:val="20"/>
                <w:lang w:val="en-US"/>
              </w:rPr>
              <w:t xml:space="preserve"> </w:t>
            </w:r>
          </w:p>
          <w:p w14:paraId="7CD194DC" w14:textId="77777777" w:rsidR="002D72FF" w:rsidRPr="00AE1693" w:rsidRDefault="002D72FF" w:rsidP="002D72FF">
            <w:pPr>
              <w:pStyle w:val="ListParagraph"/>
              <w:numPr>
                <w:ilvl w:val="0"/>
                <w:numId w:val="10"/>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IPPF is looking to contract for the provision of research services for the three impact studies to be carried out in 2024. One study will be commissioned for each Indicator, i.e. three studies in total. Proposals can be submitted to conduct one or more studies from the same contractor. </w:t>
            </w:r>
          </w:p>
          <w:p w14:paraId="0F48A8F2" w14:textId="77777777" w:rsidR="002D72FF" w:rsidRPr="00AE1693" w:rsidRDefault="002D72FF" w:rsidP="002D72FF">
            <w:pPr>
              <w:pStyle w:val="ListParagraph"/>
              <w:numPr>
                <w:ilvl w:val="0"/>
                <w:numId w:val="10"/>
              </w:numPr>
              <w:spacing w:after="160" w:line="259" w:lineRule="auto"/>
              <w:contextualSpacing/>
              <w:rPr>
                <w:rFonts w:asciiTheme="minorHAnsi" w:hAnsiTheme="minorHAnsi" w:cstheme="minorHAnsi"/>
                <w:i/>
                <w:iCs/>
                <w:sz w:val="20"/>
                <w:szCs w:val="20"/>
                <w:lang w:val="en-US"/>
              </w:rPr>
            </w:pPr>
            <w:r w:rsidRPr="00AE1693">
              <w:rPr>
                <w:rFonts w:asciiTheme="minorHAnsi" w:hAnsiTheme="minorHAnsi" w:cstheme="minorHAnsi"/>
                <w:sz w:val="20"/>
                <w:szCs w:val="20"/>
                <w:lang w:val="en-US"/>
              </w:rPr>
              <w:lastRenderedPageBreak/>
              <w:t xml:space="preserve">The contractor will be responsible for leading the research, including engagement with IPPF staff (at regional and global levels), research management, design, data collection, analysis and reporting. </w:t>
            </w:r>
          </w:p>
          <w:p w14:paraId="71860A7A" w14:textId="77777777" w:rsidR="002D72FF" w:rsidRPr="00AE1693" w:rsidRDefault="002D72FF" w:rsidP="002D72FF">
            <w:pPr>
              <w:pStyle w:val="ListParagraph"/>
              <w:numPr>
                <w:ilvl w:val="0"/>
                <w:numId w:val="10"/>
              </w:numPr>
              <w:spacing w:after="160" w:line="259" w:lineRule="auto"/>
              <w:contextualSpacing/>
              <w:rPr>
                <w:rFonts w:asciiTheme="minorHAnsi" w:hAnsiTheme="minorHAnsi" w:cstheme="minorHAnsi"/>
                <w:i/>
                <w:iCs/>
                <w:sz w:val="20"/>
                <w:szCs w:val="20"/>
                <w:lang w:val="en-US"/>
              </w:rPr>
            </w:pPr>
            <w:r w:rsidRPr="00AE1693">
              <w:rPr>
                <w:rFonts w:asciiTheme="minorHAnsi" w:hAnsiTheme="minorHAnsi" w:cstheme="minorHAnsi"/>
                <w:sz w:val="20"/>
                <w:szCs w:val="20"/>
                <w:lang w:val="en-US"/>
              </w:rPr>
              <w:t xml:space="preserve">IPPF staff will oversee the contract and will provide support and guidance throughout the research (e.g. provide relevant documentation, introductions to stakeholders in-country, feedback, clarification of scope, approval of deliverables). </w:t>
            </w:r>
          </w:p>
        </w:tc>
      </w:tr>
      <w:tr w:rsidR="002D72FF" w:rsidRPr="00AE1693" w14:paraId="17CE375C"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25E81E5C"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color w:val="000000" w:themeColor="text1"/>
                <w:sz w:val="20"/>
                <w:szCs w:val="20"/>
                <w:lang w:val="en-US"/>
              </w:rPr>
            </w:pPr>
            <w:r w:rsidRPr="00AE1693">
              <w:rPr>
                <w:rFonts w:asciiTheme="minorHAnsi" w:hAnsiTheme="minorHAnsi" w:cstheme="minorHAnsi"/>
                <w:b/>
                <w:bCs/>
                <w:color w:val="000000" w:themeColor="text1"/>
                <w:sz w:val="20"/>
                <w:szCs w:val="20"/>
                <w:lang w:val="en-US"/>
              </w:rPr>
              <w:lastRenderedPageBreak/>
              <w:t xml:space="preserve">Overview of Evaluation Assignment </w:t>
            </w:r>
          </w:p>
          <w:p w14:paraId="54E1764E" w14:textId="77777777" w:rsidR="002D72FF" w:rsidRPr="00AE1693" w:rsidRDefault="002D72FF" w:rsidP="00434F91">
            <w:pPr>
              <w:spacing w:line="276" w:lineRule="auto"/>
              <w:ind w:left="171" w:hanging="171"/>
              <w:rPr>
                <w:rFonts w:cstheme="minorHAnsi"/>
                <w:sz w:val="20"/>
                <w:szCs w:val="20"/>
              </w:rPr>
            </w:pPr>
            <w:r w:rsidRPr="00AE1693">
              <w:rPr>
                <w:rFonts w:eastAsia="Calibri" w:cstheme="minorHAnsi"/>
                <w:b/>
                <w:bCs/>
                <w:color w:val="000000" w:themeColor="text1"/>
                <w:sz w:val="20"/>
                <w:szCs w:val="20"/>
                <w:lang w:val="en-US"/>
              </w:rPr>
              <w:t xml:space="preserve"> </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688461BB"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Please see the attached research brief for the impact studies for each Indicator in Annex 1. These </w:t>
            </w:r>
            <w:proofErr w:type="spellStart"/>
            <w:r w:rsidRPr="00AE1693">
              <w:rPr>
                <w:rFonts w:eastAsia="Calibri" w:cstheme="minorHAnsi"/>
                <w:sz w:val="20"/>
                <w:szCs w:val="20"/>
                <w:lang w:val="en-US"/>
              </w:rPr>
              <w:t>summarise</w:t>
            </w:r>
            <w:proofErr w:type="spellEnd"/>
            <w:r w:rsidRPr="00AE1693">
              <w:rPr>
                <w:rFonts w:eastAsia="Calibri" w:cstheme="minorHAnsi"/>
                <w:sz w:val="20"/>
                <w:szCs w:val="20"/>
                <w:lang w:val="en-US"/>
              </w:rPr>
              <w:t xml:space="preserve"> the key research questions and areas of interest.</w:t>
            </w:r>
          </w:p>
          <w:p w14:paraId="39A62324"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IPPF expects the research to be conducted using qualitative, theory-based approaches which focus on learning, process and progress to date related to the intended outcomes, and IPPF’s contribution to the intended outcomes. IPPF is open to the consultant suggesting revisions to the research questions and methodologies to be used and doing further analysis on available secondary data (e.g. published surveys, IPPF service statistics) subject to the time constraints and the overall approach as set out in the outlines.</w:t>
            </w:r>
          </w:p>
          <w:p w14:paraId="359EFE9C"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IPPF expects the contractor to work collaboratively with respect, relationality and reciprocity with MAs, partners and community in relation to the research and data collection activities, and when sharing findings. </w:t>
            </w:r>
          </w:p>
          <w:p w14:paraId="2F9A7B0B" w14:textId="77777777" w:rsidR="002D72FF" w:rsidRPr="00AE1693" w:rsidRDefault="002D72FF" w:rsidP="00434F91">
            <w:pPr>
              <w:rPr>
                <w:rFonts w:cstheme="minorHAnsi"/>
                <w:i/>
                <w:iCs/>
                <w:sz w:val="20"/>
                <w:szCs w:val="20"/>
                <w:lang w:val="en-US"/>
              </w:rPr>
            </w:pPr>
            <w:r w:rsidRPr="00AE1693">
              <w:rPr>
                <w:rFonts w:cstheme="minorHAnsi"/>
                <w:sz w:val="20"/>
                <w:szCs w:val="20"/>
                <w:lang w:val="en-US"/>
              </w:rPr>
              <w:t xml:space="preserve">In the first half of 2024, there is a tight timeline to produce results in line with the IPPF Annual Performance Report publication schedule. As such, the first stage of this project is focused on developing sufficient findings to report results in key areas. This points towards a simplified methodology, small sample size and pre-validated methodologies and tools to ensure that reliability and </w:t>
            </w:r>
            <w:proofErr w:type="spellStart"/>
            <w:r w:rsidRPr="00AE1693">
              <w:rPr>
                <w:rFonts w:cstheme="minorHAnsi"/>
                <w:sz w:val="20"/>
                <w:szCs w:val="20"/>
                <w:lang w:val="en-US"/>
              </w:rPr>
              <w:t>rigour</w:t>
            </w:r>
            <w:proofErr w:type="spellEnd"/>
            <w:r w:rsidRPr="00AE1693">
              <w:rPr>
                <w:rFonts w:cstheme="minorHAnsi"/>
                <w:sz w:val="20"/>
                <w:szCs w:val="20"/>
                <w:lang w:val="en-US"/>
              </w:rPr>
              <w:t xml:space="preserve"> are maximized. Given the tight timeline, it may not be possible to pursue IRB/ethics approval. This should be taken into account when considering the type of data that can be collected. Further guidance from MAs and IPPF policies can be provided to determine what is feasible.</w:t>
            </w:r>
          </w:p>
          <w:p w14:paraId="546F1CB4" w14:textId="77777777" w:rsidR="002D72FF" w:rsidRPr="00AE1693" w:rsidRDefault="002D72FF" w:rsidP="00434F91">
            <w:pPr>
              <w:spacing w:line="276" w:lineRule="auto"/>
              <w:rPr>
                <w:rFonts w:cstheme="minorHAnsi"/>
                <w:sz w:val="20"/>
                <w:szCs w:val="20"/>
                <w:lang w:val="en-US"/>
              </w:rPr>
            </w:pPr>
            <w:r w:rsidRPr="00AE1693">
              <w:rPr>
                <w:rFonts w:cstheme="minorHAnsi"/>
                <w:sz w:val="20"/>
                <w:szCs w:val="20"/>
                <w:lang w:val="en-US"/>
              </w:rPr>
              <w:t xml:space="preserve">This Request for Proposals covers the first round of the impact studies with research to be conducted and finalized prior to June 2024. Further rounds of research will be contracted through a separate Request for Proposals. </w:t>
            </w:r>
          </w:p>
          <w:p w14:paraId="45ACF8B6" w14:textId="77777777" w:rsidR="002D72FF" w:rsidRPr="00AE1693" w:rsidRDefault="002D72FF" w:rsidP="00434F91">
            <w:pPr>
              <w:rPr>
                <w:rFonts w:cstheme="minorHAnsi"/>
                <w:i/>
                <w:iCs/>
                <w:sz w:val="20"/>
                <w:szCs w:val="20"/>
                <w:lang w:val="en-US"/>
              </w:rPr>
            </w:pPr>
            <w:r w:rsidRPr="00AE1693">
              <w:rPr>
                <w:rFonts w:cstheme="minorHAnsi"/>
                <w:sz w:val="20"/>
                <w:szCs w:val="20"/>
                <w:lang w:val="en-US"/>
              </w:rPr>
              <w:t>Beyond June 2024, there is more scope to consider a wider set of questions and approaches, with each study reporting on average every two years across the duration of the Strategy period (to 2028).</w:t>
            </w:r>
          </w:p>
        </w:tc>
      </w:tr>
      <w:tr w:rsidR="002D72FF" w:rsidRPr="00AE1693" w14:paraId="3C7FEC1A"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5D2E84B5"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color w:val="000000" w:themeColor="text1"/>
                <w:sz w:val="20"/>
                <w:szCs w:val="20"/>
                <w:lang w:val="en-US"/>
              </w:rPr>
            </w:pPr>
            <w:r w:rsidRPr="00AE1693">
              <w:rPr>
                <w:rFonts w:asciiTheme="minorHAnsi" w:hAnsiTheme="minorHAnsi" w:cstheme="minorHAnsi"/>
                <w:b/>
                <w:bCs/>
                <w:color w:val="000000" w:themeColor="text1"/>
                <w:sz w:val="20"/>
                <w:szCs w:val="20"/>
                <w:lang w:val="en-US"/>
              </w:rPr>
              <w:t>Roles and responsibilities</w:t>
            </w:r>
          </w:p>
          <w:p w14:paraId="5CA60E1C" w14:textId="77777777" w:rsidR="002D72FF" w:rsidRPr="00AE1693" w:rsidRDefault="002D72FF" w:rsidP="00434F91">
            <w:pPr>
              <w:spacing w:line="276" w:lineRule="auto"/>
              <w:ind w:left="171" w:hanging="171"/>
              <w:rPr>
                <w:rFonts w:cstheme="minorHAnsi"/>
                <w:sz w:val="20"/>
                <w:szCs w:val="20"/>
              </w:rPr>
            </w:pPr>
            <w:r w:rsidRPr="00AE1693">
              <w:rPr>
                <w:rFonts w:eastAsia="Calibri" w:cstheme="minorHAnsi"/>
                <w:b/>
                <w:bCs/>
                <w:color w:val="000000" w:themeColor="text1"/>
                <w:sz w:val="20"/>
                <w:szCs w:val="20"/>
                <w:lang w:val="en-US"/>
              </w:rPr>
              <w:t xml:space="preserve"> </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697839C3"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The contract can be awarded either to a natural (individual) or legal (company) person with the requested qualification. </w:t>
            </w:r>
          </w:p>
          <w:p w14:paraId="444CD5C4" w14:textId="77777777"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The service provider will be in direct engagement with the IPPF Performance, Learning and Impact team who will oversee the research. </w:t>
            </w:r>
          </w:p>
          <w:p w14:paraId="52B19792" w14:textId="77777777" w:rsidR="002D72FF" w:rsidRPr="00AE1693" w:rsidRDefault="002D72FF" w:rsidP="00434F91">
            <w:pPr>
              <w:spacing w:line="276" w:lineRule="auto"/>
              <w:rPr>
                <w:rFonts w:eastAsia="Calibri" w:cstheme="minorHAnsi"/>
                <w:sz w:val="20"/>
                <w:szCs w:val="20"/>
                <w:u w:val="single"/>
                <w:lang w:val="en-US"/>
              </w:rPr>
            </w:pPr>
            <w:r w:rsidRPr="00AE1693">
              <w:rPr>
                <w:rFonts w:eastAsia="Calibri" w:cstheme="minorHAnsi"/>
                <w:sz w:val="20"/>
                <w:szCs w:val="20"/>
                <w:u w:val="single"/>
                <w:lang w:val="en-US"/>
              </w:rPr>
              <w:t>Contractor’s specific roles and responsibilities</w:t>
            </w:r>
          </w:p>
          <w:p w14:paraId="02108DF1" w14:textId="77777777" w:rsidR="002D72FF" w:rsidRPr="00AE1693" w:rsidRDefault="002D72FF" w:rsidP="002D72FF">
            <w:pPr>
              <w:pStyle w:val="ListParagraph"/>
              <w:numPr>
                <w:ilvl w:val="0"/>
                <w:numId w:val="1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Identifying and </w:t>
            </w:r>
            <w:proofErr w:type="spellStart"/>
            <w:r w:rsidRPr="00AE1693">
              <w:rPr>
                <w:rFonts w:asciiTheme="minorHAnsi" w:hAnsiTheme="minorHAnsi" w:cstheme="minorHAnsi"/>
                <w:sz w:val="20"/>
                <w:szCs w:val="20"/>
                <w:lang w:val="en-US"/>
              </w:rPr>
              <w:t>finalising</w:t>
            </w:r>
            <w:proofErr w:type="spellEnd"/>
            <w:r w:rsidRPr="00AE1693">
              <w:rPr>
                <w:rFonts w:asciiTheme="minorHAnsi" w:hAnsiTheme="minorHAnsi" w:cstheme="minorHAnsi"/>
                <w:sz w:val="20"/>
                <w:szCs w:val="20"/>
                <w:lang w:val="en-US"/>
              </w:rPr>
              <w:t xml:space="preserve"> research approach and methodology including data collection tools (key informant interview guides, FGD guides, informed consent, </w:t>
            </w:r>
            <w:proofErr w:type="spellStart"/>
            <w:r w:rsidRPr="00AE1693">
              <w:rPr>
                <w:rFonts w:asciiTheme="minorHAnsi" w:hAnsiTheme="minorHAnsi" w:cstheme="minorHAnsi"/>
                <w:sz w:val="20"/>
                <w:szCs w:val="20"/>
                <w:lang w:val="en-US"/>
              </w:rPr>
              <w:t>etc</w:t>
            </w:r>
            <w:proofErr w:type="spellEnd"/>
            <w:r w:rsidRPr="00AE1693">
              <w:rPr>
                <w:rFonts w:asciiTheme="minorHAnsi" w:hAnsiTheme="minorHAnsi" w:cstheme="minorHAnsi"/>
                <w:sz w:val="20"/>
                <w:szCs w:val="20"/>
                <w:lang w:val="en-US"/>
              </w:rPr>
              <w:t xml:space="preserve">) with translation into relevant languages as required. </w:t>
            </w:r>
          </w:p>
          <w:p w14:paraId="5021F81E" w14:textId="77777777" w:rsidR="002D72FF" w:rsidRPr="00AE1693" w:rsidRDefault="002D72FF" w:rsidP="002D72FF">
            <w:pPr>
              <w:pStyle w:val="ListParagraph"/>
              <w:numPr>
                <w:ilvl w:val="0"/>
                <w:numId w:val="1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lastRenderedPageBreak/>
              <w:t>Periodic engagement with IPPF PL&amp;I team to provide updates on research, identify and mitigate any emerging risks, and sense check emerging findings</w:t>
            </w:r>
          </w:p>
          <w:p w14:paraId="42387F20" w14:textId="77777777" w:rsidR="002D72FF" w:rsidRPr="00AE1693" w:rsidRDefault="002D72FF" w:rsidP="002D72FF">
            <w:pPr>
              <w:pStyle w:val="ListParagraph"/>
              <w:numPr>
                <w:ilvl w:val="0"/>
                <w:numId w:val="1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Collecting and </w:t>
            </w:r>
            <w:proofErr w:type="spellStart"/>
            <w:r w:rsidRPr="00AE1693">
              <w:rPr>
                <w:rFonts w:asciiTheme="minorHAnsi" w:hAnsiTheme="minorHAnsi" w:cstheme="minorHAnsi"/>
                <w:sz w:val="20"/>
                <w:szCs w:val="20"/>
                <w:lang w:val="en-US"/>
              </w:rPr>
              <w:t>analysing</w:t>
            </w:r>
            <w:proofErr w:type="spellEnd"/>
            <w:r w:rsidRPr="00AE1693">
              <w:rPr>
                <w:rFonts w:asciiTheme="minorHAnsi" w:hAnsiTheme="minorHAnsi" w:cstheme="minorHAnsi"/>
                <w:sz w:val="20"/>
                <w:szCs w:val="20"/>
                <w:lang w:val="en-US"/>
              </w:rPr>
              <w:t xml:space="preserve"> data (with capacity to work in local languages, as required)</w:t>
            </w:r>
          </w:p>
          <w:p w14:paraId="0C71D282" w14:textId="77777777" w:rsidR="002D72FF" w:rsidRPr="00AE1693" w:rsidRDefault="002D72FF" w:rsidP="002D72FF">
            <w:pPr>
              <w:pStyle w:val="ListParagraph"/>
              <w:numPr>
                <w:ilvl w:val="0"/>
                <w:numId w:val="13"/>
              </w:numPr>
              <w:spacing w:after="160"/>
              <w:contextualSpacing/>
              <w:rPr>
                <w:rFonts w:asciiTheme="minorHAnsi" w:hAnsiTheme="minorHAnsi" w:cstheme="minorHAnsi"/>
                <w:sz w:val="20"/>
                <w:szCs w:val="20"/>
                <w:u w:val="single"/>
                <w:lang w:val="en-US"/>
              </w:rPr>
            </w:pPr>
            <w:r w:rsidRPr="00AE1693">
              <w:rPr>
                <w:rFonts w:asciiTheme="minorHAnsi" w:hAnsiTheme="minorHAnsi" w:cstheme="minorHAnsi"/>
                <w:sz w:val="20"/>
                <w:szCs w:val="20"/>
                <w:lang w:val="en-US"/>
              </w:rPr>
              <w:t xml:space="preserve">Producing final report (not to exceed 20 pages) for each impact study </w:t>
            </w:r>
          </w:p>
          <w:p w14:paraId="05A57D94" w14:textId="77777777" w:rsidR="002D72FF" w:rsidRPr="00AE1693" w:rsidRDefault="002D72FF" w:rsidP="002D72FF">
            <w:pPr>
              <w:pStyle w:val="ListParagraph"/>
              <w:numPr>
                <w:ilvl w:val="0"/>
                <w:numId w:val="13"/>
              </w:numPr>
              <w:spacing w:after="160"/>
              <w:contextualSpacing/>
              <w:rPr>
                <w:rFonts w:asciiTheme="minorHAnsi" w:hAnsiTheme="minorHAnsi" w:cstheme="minorHAnsi"/>
                <w:sz w:val="20"/>
                <w:szCs w:val="20"/>
                <w:u w:val="single"/>
                <w:lang w:val="en-US"/>
              </w:rPr>
            </w:pPr>
            <w:r w:rsidRPr="00AE1693">
              <w:rPr>
                <w:rFonts w:asciiTheme="minorHAnsi" w:hAnsiTheme="minorHAnsi" w:cstheme="minorHAnsi"/>
                <w:sz w:val="20"/>
                <w:szCs w:val="20"/>
                <w:lang w:val="en-US"/>
              </w:rPr>
              <w:t xml:space="preserve">Other relevant activities as agreed and detailed in workplan </w:t>
            </w:r>
          </w:p>
          <w:p w14:paraId="38CF3AA8" w14:textId="77777777" w:rsidR="002D72FF" w:rsidRPr="00AE1693" w:rsidRDefault="002D72FF" w:rsidP="00434F91">
            <w:pPr>
              <w:spacing w:line="276" w:lineRule="auto"/>
              <w:rPr>
                <w:rFonts w:eastAsia="Calibri" w:cstheme="minorHAnsi"/>
                <w:sz w:val="20"/>
                <w:szCs w:val="20"/>
                <w:u w:val="single"/>
                <w:lang w:val="en-US"/>
              </w:rPr>
            </w:pPr>
            <w:r w:rsidRPr="00AE1693">
              <w:rPr>
                <w:rFonts w:eastAsia="Calibri" w:cstheme="minorHAnsi"/>
                <w:sz w:val="20"/>
                <w:szCs w:val="20"/>
                <w:u w:val="single"/>
                <w:lang w:val="en-US"/>
              </w:rPr>
              <w:t>IPPF’s specific roles and responsibilities</w:t>
            </w:r>
          </w:p>
          <w:p w14:paraId="010A1919" w14:textId="77777777" w:rsidR="002D72FF" w:rsidRPr="00AE1693" w:rsidRDefault="002D72FF" w:rsidP="002D72FF">
            <w:pPr>
              <w:pStyle w:val="ListParagraph"/>
              <w:numPr>
                <w:ilvl w:val="0"/>
                <w:numId w:val="1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Advise on direction of research through regular feedback and discussion meetings</w:t>
            </w:r>
          </w:p>
          <w:p w14:paraId="7B71944B" w14:textId="77777777" w:rsidR="002D72FF" w:rsidRPr="00AE1693" w:rsidRDefault="002D72FF" w:rsidP="002D72FF">
            <w:pPr>
              <w:pStyle w:val="ListParagraph"/>
              <w:numPr>
                <w:ilvl w:val="0"/>
                <w:numId w:val="1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Provide feedback on draft reports, and approve final reports</w:t>
            </w:r>
          </w:p>
          <w:p w14:paraId="4F52F4A3" w14:textId="77777777" w:rsidR="002D72FF" w:rsidRPr="00AE1693" w:rsidRDefault="002D72FF" w:rsidP="002D72FF">
            <w:pPr>
              <w:pStyle w:val="ListParagraph"/>
              <w:numPr>
                <w:ilvl w:val="0"/>
                <w:numId w:val="1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Provide administrative and logistical support where required</w:t>
            </w:r>
          </w:p>
        </w:tc>
      </w:tr>
      <w:tr w:rsidR="002D72FF" w:rsidRPr="00AE1693" w14:paraId="306BDCE2"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129187F3"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color w:val="000000" w:themeColor="text1"/>
                <w:sz w:val="20"/>
                <w:szCs w:val="20"/>
                <w:lang w:val="en-US"/>
              </w:rPr>
            </w:pPr>
            <w:r w:rsidRPr="00AE1693">
              <w:rPr>
                <w:rFonts w:asciiTheme="minorHAnsi" w:hAnsiTheme="minorHAnsi" w:cstheme="minorHAnsi"/>
                <w:b/>
                <w:bCs/>
                <w:color w:val="000000" w:themeColor="text1"/>
                <w:sz w:val="20"/>
                <w:szCs w:val="20"/>
                <w:lang w:val="en-US"/>
              </w:rPr>
              <w:lastRenderedPageBreak/>
              <w:t>Milestones and deliverables</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74193B55" w14:textId="77777777" w:rsidR="002D72FF" w:rsidRPr="00AE1693" w:rsidRDefault="002D72FF" w:rsidP="00434F91">
            <w:pPr>
              <w:spacing w:line="276" w:lineRule="auto"/>
              <w:rPr>
                <w:rFonts w:eastAsia="Calibri" w:cstheme="minorHAnsi"/>
                <w:sz w:val="20"/>
                <w:szCs w:val="20"/>
                <w:u w:val="single"/>
                <w:lang w:val="en-US"/>
              </w:rPr>
            </w:pPr>
            <w:r w:rsidRPr="00AE1693">
              <w:rPr>
                <w:rFonts w:eastAsia="Calibri" w:cstheme="minorHAnsi"/>
                <w:sz w:val="20"/>
                <w:szCs w:val="20"/>
                <w:u w:val="single"/>
                <w:lang w:val="en-US"/>
              </w:rPr>
              <w:t xml:space="preserve">Deliverable/ Dates </w:t>
            </w:r>
          </w:p>
          <w:p w14:paraId="070625B7" w14:textId="77777777" w:rsidR="002D72FF" w:rsidRPr="00AE1693" w:rsidRDefault="002D72FF" w:rsidP="002D72FF">
            <w:pPr>
              <w:pStyle w:val="ListParagraph"/>
              <w:numPr>
                <w:ilvl w:val="0"/>
                <w:numId w:val="9"/>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Final approach, methodology and research questions: 18 March 2024</w:t>
            </w:r>
          </w:p>
          <w:p w14:paraId="11E19E72" w14:textId="77777777" w:rsidR="002D72FF" w:rsidRPr="00AE1693" w:rsidRDefault="002D72FF" w:rsidP="002D72FF">
            <w:pPr>
              <w:pStyle w:val="ListParagraph"/>
              <w:numPr>
                <w:ilvl w:val="0"/>
                <w:numId w:val="9"/>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Data collection and analysis completed: 22 April 2024</w:t>
            </w:r>
          </w:p>
          <w:p w14:paraId="17884166" w14:textId="77777777" w:rsidR="002D72FF" w:rsidRPr="00AE1693" w:rsidRDefault="002D72FF" w:rsidP="002D72FF">
            <w:pPr>
              <w:pStyle w:val="ListParagraph"/>
              <w:numPr>
                <w:ilvl w:val="0"/>
                <w:numId w:val="9"/>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First draft report(s) (including 1-page executive summary): 8 May 2024</w:t>
            </w:r>
          </w:p>
          <w:p w14:paraId="6141B28E" w14:textId="77777777" w:rsidR="002D72FF" w:rsidRPr="00AE1693" w:rsidRDefault="002D72FF" w:rsidP="002D72FF">
            <w:pPr>
              <w:pStyle w:val="ListParagraph"/>
              <w:numPr>
                <w:ilvl w:val="0"/>
                <w:numId w:val="9"/>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Final reports: 7 June 2024</w:t>
            </w:r>
          </w:p>
        </w:tc>
      </w:tr>
      <w:tr w:rsidR="002D72FF" w:rsidRPr="00AE1693" w14:paraId="3057A79A"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3505A823"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color w:val="000000" w:themeColor="text1"/>
                <w:sz w:val="20"/>
                <w:szCs w:val="20"/>
                <w:lang w:val="en-US"/>
              </w:rPr>
            </w:pPr>
            <w:r w:rsidRPr="00AE1693">
              <w:rPr>
                <w:rFonts w:asciiTheme="minorHAnsi" w:hAnsiTheme="minorHAnsi" w:cstheme="minorHAnsi"/>
                <w:b/>
                <w:bCs/>
                <w:color w:val="000000" w:themeColor="text1"/>
                <w:sz w:val="20"/>
                <w:szCs w:val="20"/>
                <w:lang w:val="en-US"/>
              </w:rPr>
              <w:t>Contractor requirements</w:t>
            </w:r>
          </w:p>
          <w:p w14:paraId="35101EFB" w14:textId="77777777" w:rsidR="002D72FF" w:rsidRPr="00AE1693" w:rsidRDefault="002D72FF" w:rsidP="00434F91">
            <w:pPr>
              <w:spacing w:line="276" w:lineRule="auto"/>
              <w:ind w:left="171" w:hanging="171"/>
              <w:rPr>
                <w:rFonts w:cstheme="minorHAnsi"/>
                <w:sz w:val="20"/>
                <w:szCs w:val="20"/>
              </w:rPr>
            </w:pPr>
            <w:r w:rsidRPr="00AE1693">
              <w:rPr>
                <w:rFonts w:eastAsia="Calibri" w:cstheme="minorHAnsi"/>
                <w:b/>
                <w:bCs/>
                <w:sz w:val="20"/>
                <w:szCs w:val="20"/>
                <w:lang w:val="en-US"/>
              </w:rPr>
              <w:t xml:space="preserve"> </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46815BF9" w14:textId="77777777" w:rsidR="002D72FF" w:rsidRPr="00AE1693" w:rsidRDefault="002D72FF" w:rsidP="00434F91">
            <w:pPr>
              <w:spacing w:line="276" w:lineRule="auto"/>
              <w:rPr>
                <w:rFonts w:eastAsia="Calibri" w:cstheme="minorHAnsi"/>
                <w:b/>
                <w:bCs/>
                <w:sz w:val="20"/>
                <w:szCs w:val="20"/>
                <w:lang w:val="en-US"/>
              </w:rPr>
            </w:pPr>
            <w:r w:rsidRPr="00AE1693">
              <w:rPr>
                <w:rFonts w:eastAsia="Calibri" w:cstheme="minorHAnsi"/>
                <w:b/>
                <w:bCs/>
                <w:sz w:val="20"/>
                <w:szCs w:val="20"/>
                <w:lang w:val="en-US"/>
              </w:rPr>
              <w:t>Experience &amp; Skills required</w:t>
            </w:r>
          </w:p>
          <w:p w14:paraId="6BB242A9" w14:textId="77777777" w:rsidR="002D72FF" w:rsidRPr="00AE1693" w:rsidRDefault="002D72FF" w:rsidP="00434F91">
            <w:pPr>
              <w:spacing w:line="276" w:lineRule="auto"/>
              <w:rPr>
                <w:rFonts w:eastAsia="Calibri" w:cstheme="minorHAnsi"/>
                <w:sz w:val="20"/>
                <w:szCs w:val="20"/>
              </w:rPr>
            </w:pPr>
            <w:r w:rsidRPr="00AE1693">
              <w:rPr>
                <w:rFonts w:eastAsia="Calibri" w:cstheme="minorHAnsi"/>
                <w:sz w:val="20"/>
                <w:szCs w:val="20"/>
                <w:u w:val="single"/>
                <w:lang w:val="en-US"/>
              </w:rPr>
              <w:t>Essential:</w:t>
            </w:r>
            <w:r w:rsidRPr="00AE1693">
              <w:rPr>
                <w:rFonts w:eastAsia="Calibri" w:cstheme="minorHAnsi"/>
                <w:sz w:val="20"/>
                <w:szCs w:val="20"/>
                <w:lang w:val="en-US"/>
              </w:rPr>
              <w:t xml:space="preserve"> </w:t>
            </w:r>
            <w:r w:rsidRPr="00AE1693">
              <w:rPr>
                <w:rFonts w:eastAsia="Calibri" w:cstheme="minorHAnsi"/>
                <w:sz w:val="20"/>
                <w:szCs w:val="20"/>
              </w:rPr>
              <w:t xml:space="preserve">It is anticipated that the consultant/company has expertise and previous expertise in: </w:t>
            </w:r>
          </w:p>
          <w:p w14:paraId="30B43A1E"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Qualitative evaluation methods and techniques in general </w:t>
            </w:r>
          </w:p>
          <w:p w14:paraId="0D2659F5"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Evaluation in multi country/ regional and global settings </w:t>
            </w:r>
          </w:p>
          <w:p w14:paraId="1355C34E"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Expertise in target topic of the Indicator(s) </w:t>
            </w:r>
          </w:p>
          <w:p w14:paraId="5C323CC2"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Supportive of a woman’s right to choose and to have access to safe abortion services, in accordance with Schedule 9 Part 3 of the Equality Act 2010.</w:t>
            </w:r>
          </w:p>
          <w:p w14:paraId="0E51CBE0"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Language skills levels (French/Spanish/Arabic all valuable) </w:t>
            </w:r>
          </w:p>
          <w:p w14:paraId="73070B57"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Team and project management experience </w:t>
            </w:r>
          </w:p>
          <w:p w14:paraId="704B06EF" w14:textId="77777777" w:rsidR="002D72FF" w:rsidRPr="00AE1693" w:rsidRDefault="002D72FF" w:rsidP="00434F91">
            <w:pPr>
              <w:spacing w:line="276" w:lineRule="auto"/>
              <w:rPr>
                <w:rFonts w:eastAsia="Calibri" w:cstheme="minorHAnsi"/>
                <w:sz w:val="20"/>
                <w:szCs w:val="20"/>
                <w:u w:val="single"/>
                <w:lang w:val="en-US"/>
              </w:rPr>
            </w:pPr>
            <w:r w:rsidRPr="00AE1693">
              <w:rPr>
                <w:rFonts w:eastAsia="Calibri" w:cstheme="minorHAnsi"/>
                <w:sz w:val="20"/>
                <w:szCs w:val="20"/>
                <w:u w:val="single"/>
                <w:lang w:val="en-US"/>
              </w:rPr>
              <w:t>Desirable (advantages):</w:t>
            </w:r>
          </w:p>
          <w:p w14:paraId="0955E242"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Evaluation methods and techniques in field of development, including in SRHR and in LMICs</w:t>
            </w:r>
          </w:p>
          <w:p w14:paraId="3ED5B2F4"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Experience using participatory research and feminist research methods</w:t>
            </w:r>
          </w:p>
          <w:p w14:paraId="273EFE3A"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Specific experience in key areas of study: gender and equality; youth-</w:t>
            </w:r>
            <w:proofErr w:type="spellStart"/>
            <w:r w:rsidRPr="00AE1693">
              <w:rPr>
                <w:rFonts w:asciiTheme="minorHAnsi" w:hAnsiTheme="minorHAnsi" w:cstheme="minorHAnsi"/>
                <w:sz w:val="20"/>
                <w:szCs w:val="20"/>
                <w:lang w:val="en-US"/>
              </w:rPr>
              <w:t>centred</w:t>
            </w:r>
            <w:proofErr w:type="spellEnd"/>
            <w:r w:rsidRPr="00AE1693">
              <w:rPr>
                <w:rFonts w:asciiTheme="minorHAnsi" w:hAnsiTheme="minorHAnsi" w:cstheme="minorHAnsi"/>
                <w:sz w:val="20"/>
                <w:szCs w:val="20"/>
                <w:lang w:val="en-US"/>
              </w:rPr>
              <w:t xml:space="preserve"> care; comprehensive sexuality education; social movements and activism; social norms.</w:t>
            </w:r>
          </w:p>
          <w:p w14:paraId="36ABCAC4" w14:textId="77777777" w:rsidR="002D72FF" w:rsidRPr="00AE1693" w:rsidRDefault="002D72FF" w:rsidP="002D72FF">
            <w:pPr>
              <w:pStyle w:val="ListParagraph"/>
              <w:numPr>
                <w:ilvl w:val="0"/>
                <w:numId w:val="8"/>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Availability of local expertise in selected countries</w:t>
            </w:r>
          </w:p>
          <w:p w14:paraId="778E96EB" w14:textId="77777777" w:rsidR="002D72FF" w:rsidRPr="00AE1693" w:rsidRDefault="002D72FF" w:rsidP="00434F91">
            <w:pPr>
              <w:spacing w:line="276" w:lineRule="auto"/>
              <w:rPr>
                <w:rFonts w:eastAsia="Calibri" w:cstheme="minorHAnsi"/>
                <w:sz w:val="20"/>
                <w:szCs w:val="20"/>
                <w:u w:val="single"/>
                <w:lang w:val="en-US"/>
              </w:rPr>
            </w:pPr>
            <w:r w:rsidRPr="00AE1693">
              <w:rPr>
                <w:rFonts w:eastAsia="Calibri" w:cstheme="minorHAnsi"/>
                <w:sz w:val="20"/>
                <w:szCs w:val="20"/>
                <w:u w:val="single"/>
                <w:lang w:val="en-US"/>
              </w:rPr>
              <w:t>Other requirements</w:t>
            </w:r>
          </w:p>
          <w:p w14:paraId="3440ADC8" w14:textId="77777777" w:rsidR="002D72FF" w:rsidRPr="00AE1693" w:rsidRDefault="002D72FF" w:rsidP="002D72FF">
            <w:pPr>
              <w:pStyle w:val="ListParagraph"/>
              <w:numPr>
                <w:ilvl w:val="0"/>
                <w:numId w:val="7"/>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 xml:space="preserve">SAFEGUARDING - The contractor will be expected to sign and adhere to IPPF’s code of conduct and safeguarding on signing the contract. As per </w:t>
            </w:r>
            <w:r w:rsidRPr="00AE1693">
              <w:rPr>
                <w:rFonts w:asciiTheme="minorHAnsi" w:hAnsiTheme="minorHAnsi" w:cstheme="minorHAnsi"/>
                <w:sz w:val="20"/>
                <w:szCs w:val="20"/>
              </w:rPr>
              <w:lastRenderedPageBreak/>
              <w:t>our policy on the protection of children and vulnerable adults, they may also be required to undergo a criminal record check.</w:t>
            </w:r>
          </w:p>
        </w:tc>
      </w:tr>
      <w:tr w:rsidR="002D72FF" w:rsidRPr="00AE1693" w14:paraId="157624E6"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2DC57F89" w14:textId="77777777" w:rsidR="002D72FF" w:rsidRPr="00AE1693" w:rsidRDefault="002D72FF" w:rsidP="002D72FF">
            <w:pPr>
              <w:pStyle w:val="ListParagraph"/>
              <w:numPr>
                <w:ilvl w:val="0"/>
                <w:numId w:val="11"/>
              </w:numPr>
              <w:spacing w:after="160"/>
              <w:contextualSpacing/>
              <w:rPr>
                <w:rFonts w:asciiTheme="minorHAnsi" w:hAnsiTheme="minorHAnsi" w:cstheme="minorHAnsi"/>
                <w:b/>
                <w:bCs/>
                <w:sz w:val="20"/>
                <w:szCs w:val="20"/>
                <w:lang w:val="en-US"/>
              </w:rPr>
            </w:pPr>
            <w:r w:rsidRPr="00AE1693">
              <w:rPr>
                <w:rFonts w:asciiTheme="minorHAnsi" w:hAnsiTheme="minorHAnsi" w:cstheme="minorHAnsi"/>
                <w:b/>
                <w:bCs/>
                <w:sz w:val="20"/>
                <w:szCs w:val="20"/>
                <w:lang w:val="en-US"/>
              </w:rPr>
              <w:lastRenderedPageBreak/>
              <w:t>Submission of Proposal</w:t>
            </w:r>
          </w:p>
          <w:p w14:paraId="0CBA7447" w14:textId="77777777" w:rsidR="002D72FF" w:rsidRPr="00AE1693" w:rsidRDefault="002D72FF" w:rsidP="00434F91">
            <w:pPr>
              <w:spacing w:line="276" w:lineRule="auto"/>
              <w:ind w:left="171" w:hanging="171"/>
              <w:rPr>
                <w:rFonts w:cstheme="minorHAnsi"/>
                <w:sz w:val="20"/>
                <w:szCs w:val="20"/>
              </w:rPr>
            </w:pPr>
            <w:r w:rsidRPr="00AE1693">
              <w:rPr>
                <w:rFonts w:eastAsia="Calibri" w:cstheme="minorHAnsi"/>
                <w:b/>
                <w:bCs/>
                <w:sz w:val="20"/>
                <w:szCs w:val="20"/>
                <w:lang w:val="en-US"/>
              </w:rPr>
              <w:t xml:space="preserve"> </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680B8289" w14:textId="77777777" w:rsidR="002D72FF" w:rsidRPr="00AE1693" w:rsidRDefault="002D72FF" w:rsidP="00434F91">
            <w:pPr>
              <w:tabs>
                <w:tab w:val="left" w:pos="860"/>
              </w:tabs>
              <w:spacing w:line="276" w:lineRule="auto"/>
              <w:rPr>
                <w:rFonts w:eastAsia="Calibri" w:cstheme="minorHAnsi"/>
                <w:b/>
                <w:bCs/>
                <w:sz w:val="20"/>
                <w:szCs w:val="20"/>
                <w:lang w:val="en-US"/>
              </w:rPr>
            </w:pPr>
            <w:r w:rsidRPr="00AE1693">
              <w:rPr>
                <w:rFonts w:eastAsia="Calibri" w:cstheme="minorHAnsi"/>
                <w:sz w:val="20"/>
                <w:szCs w:val="20"/>
                <w:lang w:val="en-US"/>
              </w:rPr>
              <w:t>Interested service provider(s) should submit one technical and one financial proposal for each Indicator for which they are interested in conducting the research. Proposal(s) are to be submitted to</w:t>
            </w:r>
            <w:r w:rsidRPr="00AE1693">
              <w:rPr>
                <w:rFonts w:eastAsia="Calibri" w:cstheme="minorHAnsi"/>
                <w:b/>
                <w:bCs/>
                <w:sz w:val="20"/>
                <w:szCs w:val="20"/>
                <w:lang w:val="en-US"/>
              </w:rPr>
              <w:t xml:space="preserve"> </w:t>
            </w:r>
            <w:hyperlink r:id="rId11" w:history="1">
              <w:r w:rsidRPr="00AE1693">
                <w:rPr>
                  <w:rStyle w:val="Hyperlink"/>
                  <w:rFonts w:eastAsia="Calibri" w:cstheme="minorHAnsi"/>
                  <w:b/>
                  <w:bCs/>
                  <w:sz w:val="20"/>
                  <w:szCs w:val="20"/>
                  <w:lang w:val="en-US"/>
                </w:rPr>
                <w:t>jnewton@ippf.org</w:t>
              </w:r>
            </w:hyperlink>
            <w:r w:rsidRPr="00AE1693">
              <w:rPr>
                <w:rFonts w:eastAsia="Calibri" w:cstheme="minorHAnsi"/>
                <w:b/>
                <w:bCs/>
                <w:sz w:val="20"/>
                <w:szCs w:val="20"/>
                <w:lang w:val="en-US"/>
              </w:rPr>
              <w:t xml:space="preserve"> </w:t>
            </w:r>
            <w:r w:rsidRPr="00AE1693">
              <w:rPr>
                <w:rFonts w:eastAsia="Calibri" w:cstheme="minorHAnsi"/>
                <w:sz w:val="20"/>
                <w:szCs w:val="20"/>
                <w:lang w:val="en-US"/>
              </w:rPr>
              <w:t>with the subject line ‘</w:t>
            </w:r>
            <w:r w:rsidRPr="00AE1693">
              <w:rPr>
                <w:rFonts w:eastAsia="Calibri" w:cstheme="minorHAnsi"/>
                <w:b/>
                <w:bCs/>
                <w:sz w:val="20"/>
                <w:szCs w:val="20"/>
                <w:lang w:val="en-US"/>
              </w:rPr>
              <w:t>Proposal for impact study – Indicator [insert indicator number]</w:t>
            </w:r>
            <w:r w:rsidRPr="00AE1693">
              <w:rPr>
                <w:rFonts w:eastAsia="Calibri" w:cstheme="minorHAnsi"/>
                <w:sz w:val="20"/>
                <w:szCs w:val="20"/>
                <w:lang w:val="en-US"/>
              </w:rPr>
              <w:t>’ no later than midnight GMT on 19 February 2024. Proposals must follow the format detailed below:</w:t>
            </w:r>
          </w:p>
          <w:p w14:paraId="1C9BAB32" w14:textId="77777777" w:rsidR="002D72FF" w:rsidRPr="00AE1693" w:rsidRDefault="002D72FF" w:rsidP="00434F91">
            <w:pPr>
              <w:tabs>
                <w:tab w:val="left" w:pos="860"/>
              </w:tabs>
              <w:spacing w:line="276" w:lineRule="auto"/>
              <w:rPr>
                <w:rFonts w:eastAsia="Calibri" w:cstheme="minorHAnsi"/>
                <w:sz w:val="20"/>
                <w:szCs w:val="20"/>
                <w:u w:val="single"/>
                <w:lang w:val="en-US"/>
              </w:rPr>
            </w:pPr>
            <w:r w:rsidRPr="00AE1693">
              <w:rPr>
                <w:rFonts w:eastAsia="Calibri" w:cstheme="minorHAnsi"/>
                <w:sz w:val="20"/>
                <w:szCs w:val="20"/>
                <w:u w:val="single"/>
                <w:lang w:val="en-US"/>
              </w:rPr>
              <w:t>Technical proposal</w:t>
            </w:r>
          </w:p>
          <w:tbl>
            <w:tblPr>
              <w:tblW w:w="0" w:type="auto"/>
              <w:tblInd w:w="15" w:type="dxa"/>
              <w:tblLayout w:type="fixed"/>
              <w:tblLook w:val="06A0" w:firstRow="1" w:lastRow="0" w:firstColumn="1" w:lastColumn="0" w:noHBand="1" w:noVBand="1"/>
            </w:tblPr>
            <w:tblGrid>
              <w:gridCol w:w="1352"/>
              <w:gridCol w:w="5111"/>
            </w:tblGrid>
            <w:tr w:rsidR="002D72FF" w:rsidRPr="00AE1693" w14:paraId="365E4FD3" w14:textId="77777777" w:rsidTr="00E759FF">
              <w:trPr>
                <w:trHeight w:val="288"/>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036672" w14:textId="77777777" w:rsidR="002D72FF" w:rsidRPr="00AE1693" w:rsidRDefault="002D72FF" w:rsidP="00E759FF">
                  <w:pPr>
                    <w:spacing w:line="276" w:lineRule="auto"/>
                    <w:rPr>
                      <w:rFonts w:eastAsia="Calibri" w:cstheme="minorHAnsi"/>
                      <w:color w:val="000000" w:themeColor="text1"/>
                      <w:sz w:val="20"/>
                      <w:szCs w:val="20"/>
                      <w:lang w:val="en-US"/>
                    </w:rPr>
                  </w:pPr>
                  <w:r w:rsidRPr="00AE1693">
                    <w:rPr>
                      <w:rFonts w:eastAsia="Calibri" w:cstheme="minorHAnsi"/>
                      <w:color w:val="000000" w:themeColor="text1"/>
                      <w:sz w:val="20"/>
                      <w:szCs w:val="20"/>
                      <w:lang w:val="en-US"/>
                    </w:rPr>
                    <w:t>Particulars</w:t>
                  </w:r>
                </w:p>
              </w:tc>
              <w:tc>
                <w:tcPr>
                  <w:tcW w:w="51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7DEF9D" w14:textId="77777777" w:rsidR="002D72FF" w:rsidRPr="00AE1693" w:rsidRDefault="002D72FF" w:rsidP="00E759FF">
                  <w:pPr>
                    <w:spacing w:line="276" w:lineRule="auto"/>
                    <w:rPr>
                      <w:rFonts w:eastAsia="Calibri" w:cstheme="minorHAnsi"/>
                      <w:color w:val="000000" w:themeColor="text1"/>
                      <w:sz w:val="20"/>
                      <w:szCs w:val="20"/>
                      <w:lang w:val="en-US"/>
                    </w:rPr>
                  </w:pPr>
                  <w:r w:rsidRPr="00AE1693">
                    <w:rPr>
                      <w:rFonts w:eastAsia="Calibri" w:cstheme="minorHAnsi"/>
                      <w:color w:val="000000" w:themeColor="text1"/>
                      <w:sz w:val="20"/>
                      <w:szCs w:val="20"/>
                      <w:lang w:val="en-US"/>
                    </w:rPr>
                    <w:t>Details</w:t>
                  </w:r>
                </w:p>
              </w:tc>
            </w:tr>
            <w:tr w:rsidR="002D72FF" w:rsidRPr="00AE1693" w14:paraId="0E5C1A9C" w14:textId="77777777" w:rsidTr="00495BAD">
              <w:trPr>
                <w:trHeight w:val="227"/>
              </w:trPr>
              <w:tc>
                <w:tcPr>
                  <w:tcW w:w="135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919CF" w14:textId="77777777" w:rsidR="002D72FF" w:rsidRPr="00AE1693" w:rsidRDefault="002D72FF" w:rsidP="00495BAD">
                  <w:pPr>
                    <w:spacing w:line="276" w:lineRule="auto"/>
                    <w:rPr>
                      <w:rFonts w:eastAsia="Calibri" w:cstheme="minorHAnsi"/>
                      <w:b/>
                      <w:bCs/>
                      <w:sz w:val="20"/>
                      <w:szCs w:val="20"/>
                      <w:lang w:val="en-US"/>
                    </w:rPr>
                  </w:pPr>
                  <w:r w:rsidRPr="00AE1693">
                    <w:rPr>
                      <w:rFonts w:eastAsia="Calibri" w:cstheme="minorHAnsi"/>
                      <w:b/>
                      <w:bCs/>
                      <w:sz w:val="20"/>
                      <w:szCs w:val="20"/>
                      <w:lang w:val="en-US"/>
                    </w:rPr>
                    <w:t>Agency / Individual details</w:t>
                  </w:r>
                </w:p>
              </w:tc>
              <w:tc>
                <w:tcPr>
                  <w:tcW w:w="5111" w:type="dxa"/>
                  <w:tcBorders>
                    <w:top w:val="single" w:sz="8" w:space="0" w:color="000000" w:themeColor="text1"/>
                    <w:left w:val="single" w:sz="8" w:space="0" w:color="000000" w:themeColor="text1"/>
                    <w:bottom w:val="nil"/>
                    <w:right w:val="single" w:sz="8" w:space="0" w:color="000000" w:themeColor="text1"/>
                  </w:tcBorders>
                </w:tcPr>
                <w:p w14:paraId="52CFF0F7" w14:textId="77777777" w:rsidR="002D72FF" w:rsidRPr="00AE1693" w:rsidRDefault="002D72FF" w:rsidP="00E759FF">
                  <w:pPr>
                    <w:spacing w:line="276" w:lineRule="auto"/>
                    <w:rPr>
                      <w:rFonts w:eastAsia="Calibri" w:cstheme="minorHAnsi"/>
                      <w:sz w:val="20"/>
                      <w:szCs w:val="20"/>
                      <w:lang w:val="en-US"/>
                    </w:rPr>
                  </w:pPr>
                  <w:r w:rsidRPr="00AE1693">
                    <w:rPr>
                      <w:rFonts w:eastAsia="Calibri" w:cstheme="minorHAnsi"/>
                      <w:sz w:val="20"/>
                      <w:szCs w:val="20"/>
                      <w:lang w:val="en-US"/>
                    </w:rPr>
                    <w:t>Provide details of:</w:t>
                  </w:r>
                </w:p>
              </w:tc>
            </w:tr>
            <w:tr w:rsidR="002D72FF" w:rsidRPr="00AE1693" w14:paraId="5C5E5079" w14:textId="77777777" w:rsidTr="00495BAD">
              <w:trPr>
                <w:trHeight w:val="759"/>
              </w:trPr>
              <w:tc>
                <w:tcPr>
                  <w:tcW w:w="1352" w:type="dxa"/>
                  <w:vMerge/>
                  <w:tcBorders>
                    <w:left w:val="single" w:sz="0" w:space="0" w:color="000000" w:themeColor="text1"/>
                    <w:bottom w:val="single" w:sz="0" w:space="0" w:color="000000" w:themeColor="text1"/>
                    <w:right w:val="single" w:sz="0" w:space="0" w:color="000000" w:themeColor="text1"/>
                  </w:tcBorders>
                  <w:vAlign w:val="center"/>
                </w:tcPr>
                <w:p w14:paraId="7E759534" w14:textId="77777777" w:rsidR="002D72FF" w:rsidRPr="00AE1693" w:rsidRDefault="002D72FF" w:rsidP="00495BAD">
                  <w:pPr>
                    <w:rPr>
                      <w:rFonts w:cstheme="minorHAnsi"/>
                      <w:sz w:val="20"/>
                      <w:szCs w:val="20"/>
                    </w:rPr>
                  </w:pPr>
                </w:p>
              </w:tc>
              <w:tc>
                <w:tcPr>
                  <w:tcW w:w="5111" w:type="dxa"/>
                  <w:tcBorders>
                    <w:top w:val="nil"/>
                    <w:left w:val="nil"/>
                    <w:bottom w:val="nil"/>
                    <w:right w:val="single" w:sz="8" w:space="0" w:color="000000" w:themeColor="text1"/>
                  </w:tcBorders>
                </w:tcPr>
                <w:p w14:paraId="7FE9F77A" w14:textId="77777777" w:rsidR="002D72FF" w:rsidRPr="00AE1693" w:rsidRDefault="002D72FF" w:rsidP="00E759FF">
                  <w:pPr>
                    <w:pStyle w:val="ListParagraph"/>
                    <w:numPr>
                      <w:ilvl w:val="0"/>
                      <w:numId w:val="6"/>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Official Name of the applicant agency / individual</w:t>
                  </w:r>
                </w:p>
                <w:p w14:paraId="4DC812CF" w14:textId="77777777" w:rsidR="002D72FF" w:rsidRPr="00AE1693" w:rsidRDefault="002D72FF" w:rsidP="00E759FF">
                  <w:pPr>
                    <w:pStyle w:val="ListParagraph"/>
                    <w:numPr>
                      <w:ilvl w:val="0"/>
                      <w:numId w:val="6"/>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Registered office address</w:t>
                  </w:r>
                </w:p>
                <w:p w14:paraId="0F86630C" w14:textId="77777777" w:rsidR="002D72FF" w:rsidRPr="00AE1693" w:rsidRDefault="002D72FF" w:rsidP="00E759FF">
                  <w:pPr>
                    <w:pStyle w:val="ListParagraph"/>
                    <w:numPr>
                      <w:ilvl w:val="0"/>
                      <w:numId w:val="6"/>
                    </w:numPr>
                    <w:spacing w:after="160" w:line="259" w:lineRule="auto"/>
                    <w:contextualSpacing/>
                    <w:rPr>
                      <w:rFonts w:asciiTheme="minorHAnsi" w:hAnsiTheme="minorHAnsi" w:cstheme="minorHAnsi"/>
                      <w:sz w:val="20"/>
                      <w:szCs w:val="20"/>
                      <w:lang w:val="fr"/>
                    </w:rPr>
                  </w:pPr>
                  <w:r w:rsidRPr="00AE1693">
                    <w:rPr>
                      <w:rFonts w:asciiTheme="minorHAnsi" w:hAnsiTheme="minorHAnsi" w:cstheme="minorHAnsi"/>
                      <w:sz w:val="20"/>
                      <w:szCs w:val="20"/>
                      <w:lang w:val="fr"/>
                    </w:rPr>
                    <w:t>Contact information (e-mail, phone, web site)</w:t>
                  </w:r>
                </w:p>
                <w:p w14:paraId="319280A7" w14:textId="77777777" w:rsidR="002D72FF" w:rsidRPr="00AE1693" w:rsidRDefault="002D72FF" w:rsidP="00E759FF">
                  <w:pPr>
                    <w:pStyle w:val="ListParagraph"/>
                    <w:numPr>
                      <w:ilvl w:val="0"/>
                      <w:numId w:val="6"/>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Official representative </w:t>
                  </w:r>
                </w:p>
              </w:tc>
            </w:tr>
            <w:tr w:rsidR="002D72FF" w:rsidRPr="00AE1693" w14:paraId="79015DDD" w14:textId="77777777" w:rsidTr="00495BAD">
              <w:trPr>
                <w:trHeight w:val="896"/>
              </w:trPr>
              <w:tc>
                <w:tcPr>
                  <w:tcW w:w="1352" w:type="dxa"/>
                  <w:tcBorders>
                    <w:top w:val="nil"/>
                    <w:left w:val="single" w:sz="8" w:space="0" w:color="000000" w:themeColor="text1"/>
                    <w:bottom w:val="single" w:sz="8" w:space="0" w:color="000000" w:themeColor="text1"/>
                    <w:right w:val="single" w:sz="8" w:space="0" w:color="000000" w:themeColor="text1"/>
                  </w:tcBorders>
                  <w:vAlign w:val="center"/>
                </w:tcPr>
                <w:p w14:paraId="29420893" w14:textId="7AE3477F" w:rsidR="002D72FF" w:rsidRPr="00AE1693" w:rsidRDefault="002D72FF" w:rsidP="00495BAD">
                  <w:pPr>
                    <w:spacing w:line="276" w:lineRule="auto"/>
                    <w:rPr>
                      <w:rFonts w:eastAsia="Calibri" w:cstheme="minorHAnsi"/>
                      <w:b/>
                      <w:bCs/>
                      <w:sz w:val="20"/>
                      <w:szCs w:val="20"/>
                      <w:lang w:val="en-US"/>
                    </w:rPr>
                  </w:pPr>
                  <w:r w:rsidRPr="00AE1693">
                    <w:rPr>
                      <w:rFonts w:eastAsia="Calibri" w:cstheme="minorHAnsi"/>
                      <w:b/>
                      <w:bCs/>
                      <w:sz w:val="20"/>
                      <w:szCs w:val="20"/>
                      <w:lang w:val="en-US"/>
                    </w:rPr>
                    <w:t>Agency</w:t>
                  </w:r>
                  <w:r w:rsidR="00E759FF">
                    <w:rPr>
                      <w:rFonts w:eastAsia="Calibri" w:cstheme="minorHAnsi"/>
                      <w:b/>
                      <w:bCs/>
                      <w:sz w:val="20"/>
                      <w:szCs w:val="20"/>
                      <w:lang w:val="en-US"/>
                    </w:rPr>
                    <w:t xml:space="preserve"> / individual</w:t>
                  </w:r>
                  <w:r w:rsidRPr="00AE1693">
                    <w:rPr>
                      <w:rFonts w:eastAsia="Calibri" w:cstheme="minorHAnsi"/>
                      <w:b/>
                      <w:bCs/>
                      <w:sz w:val="20"/>
                      <w:szCs w:val="20"/>
                      <w:lang w:val="en-US"/>
                    </w:rPr>
                    <w:t xml:space="preserve"> experience/ portfolio</w:t>
                  </w:r>
                </w:p>
                <w:p w14:paraId="654FC857" w14:textId="77777777" w:rsidR="002D72FF" w:rsidRPr="00AE1693" w:rsidRDefault="002D72FF" w:rsidP="00495BAD">
                  <w:pPr>
                    <w:spacing w:line="276" w:lineRule="auto"/>
                    <w:rPr>
                      <w:rFonts w:eastAsia="Calibri" w:cstheme="minorHAnsi"/>
                      <w:sz w:val="20"/>
                      <w:szCs w:val="20"/>
                      <w:lang w:val="en-US"/>
                    </w:rPr>
                  </w:pPr>
                  <w:r w:rsidRPr="00AE1693">
                    <w:rPr>
                      <w:rFonts w:eastAsia="Calibri" w:cstheme="minorHAnsi"/>
                      <w:sz w:val="20"/>
                      <w:szCs w:val="20"/>
                      <w:lang w:val="en-US"/>
                    </w:rPr>
                    <w:t>Maximum 2 pages</w:t>
                  </w:r>
                </w:p>
              </w:tc>
              <w:tc>
                <w:tcPr>
                  <w:tcW w:w="5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5A2BF" w14:textId="77777777" w:rsidR="002D72FF" w:rsidRPr="00AE1693" w:rsidRDefault="002D72FF" w:rsidP="00E759FF">
                  <w:pPr>
                    <w:spacing w:line="276" w:lineRule="auto"/>
                    <w:rPr>
                      <w:rFonts w:eastAsia="Calibri" w:cstheme="minorHAnsi"/>
                      <w:sz w:val="20"/>
                      <w:szCs w:val="20"/>
                      <w:lang w:val="en-US"/>
                    </w:rPr>
                  </w:pPr>
                  <w:r w:rsidRPr="00AE1693">
                    <w:rPr>
                      <w:rFonts w:eastAsia="Calibri" w:cstheme="minorHAnsi"/>
                      <w:sz w:val="20"/>
                      <w:szCs w:val="20"/>
                      <w:lang w:val="en-US"/>
                    </w:rPr>
                    <w:t xml:space="preserve">Provide a list of previous, similar assignments in the past 3 years (see the contractor requirements in section 6 of this document) </w:t>
                  </w:r>
                </w:p>
              </w:tc>
            </w:tr>
            <w:tr w:rsidR="002D72FF" w:rsidRPr="00AE1693" w14:paraId="1ECA8332" w14:textId="77777777" w:rsidTr="00495BAD">
              <w:trPr>
                <w:trHeight w:val="258"/>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AD761" w14:textId="77777777" w:rsidR="002D72FF" w:rsidRPr="00AE1693" w:rsidRDefault="002D72FF" w:rsidP="00495BAD">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Approach &amp; Methodology</w:t>
                  </w:r>
                </w:p>
                <w:p w14:paraId="37A573E3" w14:textId="77777777" w:rsidR="002D72FF" w:rsidRPr="00AE1693" w:rsidRDefault="002D72FF" w:rsidP="00495BAD">
                  <w:pPr>
                    <w:rPr>
                      <w:rFonts w:eastAsia="Calibri" w:cstheme="minorHAnsi"/>
                      <w:color w:val="000000" w:themeColor="text1"/>
                      <w:sz w:val="20"/>
                      <w:szCs w:val="20"/>
                      <w:lang w:val="en-US"/>
                    </w:rPr>
                  </w:pPr>
                  <w:r w:rsidRPr="00AE1693">
                    <w:rPr>
                      <w:rFonts w:eastAsia="Calibri" w:cstheme="minorHAnsi"/>
                      <w:color w:val="000000" w:themeColor="text1"/>
                      <w:sz w:val="20"/>
                      <w:szCs w:val="20"/>
                      <w:lang w:val="en-US"/>
                    </w:rPr>
                    <w:t>Maximum 10 pages</w:t>
                  </w:r>
                </w:p>
              </w:tc>
              <w:tc>
                <w:tcPr>
                  <w:tcW w:w="5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5BA886" w14:textId="77777777" w:rsidR="002D72FF" w:rsidRPr="00AE1693" w:rsidRDefault="002D72FF" w:rsidP="00E759FF">
                  <w:pPr>
                    <w:spacing w:line="276" w:lineRule="auto"/>
                    <w:rPr>
                      <w:rFonts w:eastAsia="Calibri" w:cstheme="minorHAnsi"/>
                      <w:sz w:val="20"/>
                      <w:szCs w:val="20"/>
                      <w:lang w:val="en-US"/>
                    </w:rPr>
                  </w:pPr>
                  <w:r w:rsidRPr="00AE1693">
                    <w:rPr>
                      <w:rFonts w:eastAsia="Calibri" w:cstheme="minorHAnsi"/>
                      <w:sz w:val="20"/>
                      <w:szCs w:val="20"/>
                      <w:lang w:val="en-US"/>
                    </w:rPr>
                    <w:t>Provide an overall approach &amp; methodology to respond to the scope of work and the research briefs, which include:</w:t>
                  </w:r>
                </w:p>
                <w:p w14:paraId="145D0D73" w14:textId="77777777" w:rsidR="002D72FF" w:rsidRPr="00AE1693" w:rsidRDefault="002D72FF" w:rsidP="00E759FF">
                  <w:pPr>
                    <w:pStyle w:val="ListParagraph"/>
                    <w:numPr>
                      <w:ilvl w:val="0"/>
                      <w:numId w:val="5"/>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Overall approach and its responsiveness to the purpose.</w:t>
                  </w:r>
                </w:p>
                <w:p w14:paraId="50D9B66A" w14:textId="77777777" w:rsidR="002D72FF" w:rsidRPr="00AE1693" w:rsidRDefault="002D72FF" w:rsidP="00E759FF">
                  <w:pPr>
                    <w:pStyle w:val="ListParagraph"/>
                    <w:numPr>
                      <w:ilvl w:val="0"/>
                      <w:numId w:val="5"/>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Methodology to be adopted to respond to the scope of work</w:t>
                  </w:r>
                </w:p>
                <w:p w14:paraId="4B37DED8" w14:textId="77777777" w:rsidR="002D72FF" w:rsidRPr="00AE1693" w:rsidRDefault="002D72FF" w:rsidP="00E759FF">
                  <w:pPr>
                    <w:pStyle w:val="ListParagraph"/>
                    <w:numPr>
                      <w:ilvl w:val="0"/>
                      <w:numId w:val="5"/>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Key risks and mitigation strategies to be put in place</w:t>
                  </w:r>
                </w:p>
                <w:p w14:paraId="7F845B38" w14:textId="77777777" w:rsidR="002D72FF" w:rsidRDefault="002D72FF" w:rsidP="00E759FF">
                  <w:pPr>
                    <w:pStyle w:val="ListParagraph"/>
                    <w:numPr>
                      <w:ilvl w:val="0"/>
                      <w:numId w:val="5"/>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Team composition and management for the assignment </w:t>
                  </w:r>
                </w:p>
                <w:p w14:paraId="396CD23F" w14:textId="6669B2A6" w:rsidR="00FA3895" w:rsidRPr="00AE1693" w:rsidRDefault="00FA3895" w:rsidP="00E759FF">
                  <w:pPr>
                    <w:pStyle w:val="ListParagraph"/>
                    <w:numPr>
                      <w:ilvl w:val="0"/>
                      <w:numId w:val="5"/>
                    </w:numPr>
                    <w:spacing w:after="160" w:line="259" w:lineRule="auto"/>
                    <w:contextualSpacing/>
                    <w:rPr>
                      <w:rFonts w:asciiTheme="minorHAnsi" w:hAnsiTheme="minorHAnsi" w:cstheme="minorHAnsi"/>
                      <w:sz w:val="20"/>
                      <w:szCs w:val="20"/>
                      <w:lang w:val="en-US"/>
                    </w:rPr>
                  </w:pPr>
                  <w:r>
                    <w:rPr>
                      <w:rFonts w:asciiTheme="minorHAnsi" w:hAnsiTheme="minorHAnsi" w:cstheme="minorHAnsi"/>
                      <w:sz w:val="20"/>
                      <w:szCs w:val="20"/>
                      <w:lang w:val="en-US"/>
                    </w:rPr>
                    <w:t>Workplan</w:t>
                  </w:r>
                </w:p>
              </w:tc>
            </w:tr>
            <w:tr w:rsidR="002D72FF" w:rsidRPr="00AE1693" w14:paraId="1AC9B435" w14:textId="77777777" w:rsidTr="00495BAD">
              <w:trPr>
                <w:trHeight w:val="212"/>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17D381" w14:textId="77777777" w:rsidR="002D72FF" w:rsidRPr="00AE1693" w:rsidRDefault="002D72FF" w:rsidP="00495BAD">
                  <w:pPr>
                    <w:spacing w:line="276" w:lineRule="auto"/>
                    <w:rPr>
                      <w:rFonts w:eastAsia="Calibri" w:cstheme="minorHAnsi"/>
                      <w:b/>
                      <w:bCs/>
                      <w:sz w:val="20"/>
                      <w:szCs w:val="20"/>
                      <w:lang w:val="en-US"/>
                    </w:rPr>
                  </w:pPr>
                  <w:r w:rsidRPr="00AE1693">
                    <w:rPr>
                      <w:rFonts w:eastAsia="Calibri" w:cstheme="minorHAnsi"/>
                      <w:b/>
                      <w:bCs/>
                      <w:sz w:val="20"/>
                      <w:szCs w:val="20"/>
                      <w:lang w:val="en-US"/>
                    </w:rPr>
                    <w:t>Team members</w:t>
                  </w:r>
                </w:p>
                <w:p w14:paraId="5F19DA7F" w14:textId="77777777" w:rsidR="002D72FF" w:rsidRPr="00AE1693" w:rsidRDefault="002D72FF" w:rsidP="00495BAD">
                  <w:pPr>
                    <w:spacing w:line="276" w:lineRule="auto"/>
                    <w:rPr>
                      <w:rFonts w:eastAsia="Calibri" w:cstheme="minorHAnsi"/>
                      <w:sz w:val="20"/>
                      <w:szCs w:val="20"/>
                      <w:lang w:val="en-US"/>
                    </w:rPr>
                  </w:pPr>
                  <w:r w:rsidRPr="00AE1693">
                    <w:rPr>
                      <w:rFonts w:eastAsia="Calibri" w:cstheme="minorHAnsi"/>
                      <w:sz w:val="20"/>
                      <w:szCs w:val="20"/>
                      <w:lang w:val="en-US"/>
                    </w:rPr>
                    <w:t>Maximum 2 pages for each CV included</w:t>
                  </w:r>
                </w:p>
              </w:tc>
              <w:tc>
                <w:tcPr>
                  <w:tcW w:w="5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023C8" w14:textId="77777777" w:rsidR="002D72FF" w:rsidRPr="00AE1693" w:rsidRDefault="002D72FF" w:rsidP="00E759FF">
                  <w:pPr>
                    <w:spacing w:line="276" w:lineRule="auto"/>
                    <w:rPr>
                      <w:rFonts w:eastAsia="Calibri" w:cstheme="minorHAnsi"/>
                      <w:sz w:val="20"/>
                      <w:szCs w:val="20"/>
                      <w:lang w:val="en-US"/>
                    </w:rPr>
                  </w:pPr>
                  <w:r w:rsidRPr="00AE1693">
                    <w:rPr>
                      <w:rFonts w:eastAsia="Calibri" w:cstheme="minorHAnsi"/>
                      <w:sz w:val="20"/>
                      <w:szCs w:val="20"/>
                      <w:lang w:val="en-US"/>
                    </w:rPr>
                    <w:t xml:space="preserve">Provide CVs of key personnel to work on the IPPF project (outlining relevant qualifications and experience). </w:t>
                  </w:r>
                </w:p>
              </w:tc>
            </w:tr>
          </w:tbl>
          <w:p w14:paraId="2C0E18F0" w14:textId="77777777" w:rsidR="003C2F71" w:rsidRDefault="002D72FF" w:rsidP="00434F91">
            <w:pPr>
              <w:tabs>
                <w:tab w:val="left" w:pos="860"/>
              </w:tabs>
              <w:spacing w:line="276" w:lineRule="auto"/>
              <w:rPr>
                <w:rFonts w:eastAsia="Calibri" w:cstheme="minorHAnsi"/>
                <w:sz w:val="20"/>
                <w:szCs w:val="20"/>
                <w:lang w:val="en-US"/>
              </w:rPr>
            </w:pPr>
            <w:r w:rsidRPr="00AE1693">
              <w:rPr>
                <w:rFonts w:eastAsia="Calibri" w:cstheme="minorHAnsi"/>
                <w:sz w:val="20"/>
                <w:szCs w:val="20"/>
                <w:lang w:val="en-US"/>
              </w:rPr>
              <w:t xml:space="preserve"> </w:t>
            </w:r>
          </w:p>
          <w:p w14:paraId="20C3ECCA" w14:textId="77777777" w:rsidR="003C2F71" w:rsidRDefault="003C2F71" w:rsidP="00434F91">
            <w:pPr>
              <w:tabs>
                <w:tab w:val="left" w:pos="860"/>
              </w:tabs>
              <w:spacing w:line="276" w:lineRule="auto"/>
              <w:rPr>
                <w:rFonts w:eastAsia="Calibri" w:cstheme="minorHAnsi"/>
                <w:sz w:val="20"/>
                <w:szCs w:val="20"/>
                <w:lang w:val="en-US"/>
              </w:rPr>
            </w:pPr>
          </w:p>
          <w:p w14:paraId="4D4E31BB" w14:textId="77777777" w:rsidR="003C2F71" w:rsidRDefault="003C2F71" w:rsidP="00434F91">
            <w:pPr>
              <w:tabs>
                <w:tab w:val="left" w:pos="860"/>
              </w:tabs>
              <w:spacing w:line="276" w:lineRule="auto"/>
              <w:rPr>
                <w:rFonts w:eastAsia="Calibri" w:cstheme="minorHAnsi"/>
                <w:sz w:val="20"/>
                <w:szCs w:val="20"/>
                <w:lang w:val="en-US"/>
              </w:rPr>
            </w:pPr>
          </w:p>
          <w:p w14:paraId="4713152B" w14:textId="175FB277" w:rsidR="002D72FF" w:rsidRPr="00AE1693" w:rsidRDefault="002D72FF" w:rsidP="00434F91">
            <w:pPr>
              <w:tabs>
                <w:tab w:val="left" w:pos="860"/>
              </w:tabs>
              <w:spacing w:line="276" w:lineRule="auto"/>
              <w:rPr>
                <w:rFonts w:eastAsia="Calibri" w:cstheme="minorHAnsi"/>
                <w:sz w:val="20"/>
                <w:szCs w:val="20"/>
                <w:u w:val="single"/>
                <w:lang w:val="en-US"/>
              </w:rPr>
            </w:pPr>
            <w:r w:rsidRPr="00AE1693">
              <w:rPr>
                <w:rFonts w:eastAsia="Calibri" w:cstheme="minorHAnsi"/>
                <w:sz w:val="20"/>
                <w:szCs w:val="20"/>
                <w:u w:val="single"/>
                <w:lang w:val="en-US"/>
              </w:rPr>
              <w:t>Financial Quote</w:t>
            </w:r>
          </w:p>
          <w:p w14:paraId="421FEA23" w14:textId="26B504A0" w:rsidR="002D72FF" w:rsidRPr="00AE1693" w:rsidRDefault="002D72FF" w:rsidP="00434F91">
            <w:pPr>
              <w:spacing w:line="276" w:lineRule="auto"/>
              <w:rPr>
                <w:rFonts w:eastAsia="Calibri" w:cstheme="minorHAnsi"/>
                <w:sz w:val="20"/>
                <w:szCs w:val="20"/>
                <w:lang w:val="en-US"/>
              </w:rPr>
            </w:pPr>
            <w:r w:rsidRPr="00AE1693">
              <w:rPr>
                <w:rFonts w:eastAsia="Calibri" w:cstheme="minorHAnsi"/>
                <w:sz w:val="20"/>
                <w:szCs w:val="20"/>
                <w:lang w:val="en-US"/>
              </w:rPr>
              <w:t xml:space="preserve">The maximum available budget is USD 45,000 (Forty-five thousand US dollars) per research study (each research study will cover one of the </w:t>
            </w:r>
            <w:r w:rsidR="009D7FD3">
              <w:rPr>
                <w:rFonts w:eastAsia="Calibri" w:cstheme="minorHAnsi"/>
                <w:sz w:val="20"/>
                <w:szCs w:val="20"/>
                <w:lang w:val="en-US"/>
              </w:rPr>
              <w:t>i</w:t>
            </w:r>
            <w:r w:rsidRPr="00AE1693">
              <w:rPr>
                <w:rFonts w:eastAsia="Calibri" w:cstheme="minorHAnsi"/>
                <w:sz w:val="20"/>
                <w:szCs w:val="20"/>
                <w:lang w:val="en-US"/>
              </w:rPr>
              <w:t xml:space="preserve">ndicators). The payment will be split into instalments according to a calendar of deliverables that will be agreed between the service provider and IPPF at contract signing stage. </w:t>
            </w:r>
          </w:p>
          <w:p w14:paraId="5D66208C" w14:textId="087FC1CB" w:rsidR="002D72FF" w:rsidRPr="00AE1693" w:rsidRDefault="002D72FF" w:rsidP="00434F91">
            <w:pPr>
              <w:spacing w:line="276" w:lineRule="auto"/>
              <w:rPr>
                <w:rFonts w:eastAsia="Calibri" w:cstheme="minorHAnsi"/>
                <w:sz w:val="20"/>
                <w:szCs w:val="20"/>
              </w:rPr>
            </w:pPr>
            <w:r w:rsidRPr="00AE1693">
              <w:rPr>
                <w:rFonts w:eastAsia="Calibri" w:cstheme="minorHAnsi"/>
                <w:sz w:val="20"/>
                <w:szCs w:val="20"/>
                <w:lang w:val="en-US"/>
              </w:rPr>
              <w:t xml:space="preserve">The financial quote should be provided in </w:t>
            </w:r>
            <w:r w:rsidR="0015033D">
              <w:rPr>
                <w:rFonts w:eastAsia="Calibri" w:cstheme="minorHAnsi"/>
                <w:sz w:val="20"/>
                <w:szCs w:val="20"/>
                <w:lang w:val="en-US"/>
              </w:rPr>
              <w:t xml:space="preserve">a table following </w:t>
            </w:r>
            <w:r w:rsidRPr="00AE1693">
              <w:rPr>
                <w:rFonts w:eastAsia="Calibri" w:cstheme="minorHAnsi"/>
                <w:sz w:val="20"/>
                <w:szCs w:val="20"/>
                <w:lang w:val="en-US"/>
              </w:rPr>
              <w:t xml:space="preserve">the </w:t>
            </w:r>
            <w:r w:rsidR="0015033D">
              <w:rPr>
                <w:rFonts w:eastAsia="Calibri" w:cstheme="minorHAnsi"/>
                <w:sz w:val="20"/>
                <w:szCs w:val="20"/>
                <w:lang w:val="en-US"/>
              </w:rPr>
              <w:t>format</w:t>
            </w:r>
            <w:r w:rsidRPr="00AE1693">
              <w:rPr>
                <w:rFonts w:eastAsia="Calibri" w:cstheme="minorHAnsi"/>
                <w:sz w:val="20"/>
                <w:szCs w:val="20"/>
                <w:lang w:val="en-US"/>
              </w:rPr>
              <w:t xml:space="preserve"> below:</w:t>
            </w:r>
            <w:r w:rsidRPr="00AE1693">
              <w:rPr>
                <w:rFonts w:eastAsia="Calibri" w:cstheme="minorHAnsi"/>
                <w:sz w:val="20"/>
                <w:szCs w:val="20"/>
              </w:rPr>
              <w:t xml:space="preserve"> </w:t>
            </w:r>
          </w:p>
          <w:tbl>
            <w:tblPr>
              <w:tblW w:w="0" w:type="auto"/>
              <w:tblInd w:w="15" w:type="dxa"/>
              <w:tblLayout w:type="fixed"/>
              <w:tblLook w:val="06A0" w:firstRow="1" w:lastRow="0" w:firstColumn="1" w:lastColumn="0" w:noHBand="1" w:noVBand="1"/>
            </w:tblPr>
            <w:tblGrid>
              <w:gridCol w:w="1135"/>
              <w:gridCol w:w="1135"/>
              <w:gridCol w:w="1135"/>
              <w:gridCol w:w="1135"/>
              <w:gridCol w:w="1135"/>
              <w:gridCol w:w="1135"/>
              <w:gridCol w:w="1135"/>
            </w:tblGrid>
            <w:tr w:rsidR="002D72FF" w:rsidRPr="00AE1693" w14:paraId="45EFC146" w14:textId="77777777" w:rsidTr="00434F91">
              <w:trPr>
                <w:gridAfter w:val="1"/>
                <w:wAfter w:w="1135" w:type="dxa"/>
                <w:trHeight w:val="825"/>
              </w:trPr>
              <w:tc>
                <w:tcPr>
                  <w:tcW w:w="11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31FB80EA" w14:textId="4A5B4D63"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Type of costs/ Budget line</w:t>
                  </w:r>
                  <w:r w:rsidR="00163C6F">
                    <w:rPr>
                      <w:rFonts w:eastAsia="Calibri" w:cstheme="minorHAnsi"/>
                      <w:b/>
                      <w:bCs/>
                      <w:color w:val="000000" w:themeColor="text1"/>
                      <w:sz w:val="20"/>
                      <w:szCs w:val="20"/>
                      <w:lang w:val="en-US"/>
                    </w:rPr>
                    <w:t xml:space="preserve"> (e.g. daily fee)</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88D539F" w14:textId="2BB4B4A5" w:rsidR="002D72FF" w:rsidRPr="00AE1693" w:rsidRDefault="00163C6F" w:rsidP="00434F91">
                  <w:pPr>
                    <w:rPr>
                      <w:rFonts w:eastAsia="Calibri" w:cstheme="minorHAnsi"/>
                      <w:b/>
                      <w:bCs/>
                      <w:color w:val="000000" w:themeColor="text1"/>
                      <w:sz w:val="20"/>
                      <w:szCs w:val="20"/>
                      <w:lang w:val="en-US"/>
                    </w:rPr>
                  </w:pPr>
                  <w:r>
                    <w:rPr>
                      <w:rFonts w:eastAsia="Calibri" w:cstheme="minorHAnsi"/>
                      <w:b/>
                      <w:bCs/>
                      <w:color w:val="000000" w:themeColor="text1"/>
                      <w:sz w:val="20"/>
                      <w:szCs w:val="20"/>
                      <w:lang w:val="en-US"/>
                    </w:rPr>
                    <w:t>Number</w:t>
                  </w:r>
                  <w:r w:rsidR="002D72FF" w:rsidRPr="00AE1693">
                    <w:rPr>
                      <w:rFonts w:eastAsia="Calibri" w:cstheme="minorHAnsi"/>
                      <w:b/>
                      <w:bCs/>
                      <w:color w:val="000000" w:themeColor="text1"/>
                      <w:sz w:val="20"/>
                      <w:szCs w:val="20"/>
                      <w:lang w:val="en-US"/>
                    </w:rPr>
                    <w:t xml:space="preserve"> of unit</w:t>
                  </w:r>
                  <w:r>
                    <w:rPr>
                      <w:rFonts w:eastAsia="Calibri" w:cstheme="minorHAnsi"/>
                      <w:b/>
                      <w:bCs/>
                      <w:color w:val="000000" w:themeColor="text1"/>
                      <w:sz w:val="20"/>
                      <w:szCs w:val="20"/>
                      <w:lang w:val="en-US"/>
                    </w:rPr>
                    <w:t>s</w:t>
                  </w:r>
                  <w:r w:rsidR="002D72FF" w:rsidRPr="00AE1693">
                    <w:rPr>
                      <w:rFonts w:eastAsia="Calibri" w:cstheme="minorHAnsi"/>
                      <w:b/>
                      <w:bCs/>
                      <w:color w:val="000000" w:themeColor="text1"/>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0CDC099"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 xml:space="preserve">Unit value </w:t>
                  </w:r>
                </w:p>
                <w:p w14:paraId="70626C25"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Excluding VAT</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0ADBBAFC"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 xml:space="preserve">Total line value </w:t>
                  </w:r>
                </w:p>
                <w:p w14:paraId="2AA11803"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Excluding VAT</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0122E2FE"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VAT as per the current rate applicable</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326ACAB8"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 xml:space="preserve">Total Fee </w:t>
                  </w:r>
                </w:p>
              </w:tc>
            </w:tr>
            <w:tr w:rsidR="002D72FF" w:rsidRPr="00AE1693" w14:paraId="6B1292B0" w14:textId="77777777" w:rsidTr="00434F91">
              <w:trPr>
                <w:gridAfter w:val="1"/>
                <w:wAfter w:w="1135" w:type="dxa"/>
                <w:trHeight w:val="270"/>
              </w:trPr>
              <w:tc>
                <w:tcPr>
                  <w:tcW w:w="1135" w:type="dxa"/>
                  <w:vMerge/>
                  <w:tcBorders>
                    <w:left w:val="single" w:sz="0" w:space="0" w:color="000000" w:themeColor="text1"/>
                    <w:bottom w:val="single" w:sz="0" w:space="0" w:color="000000" w:themeColor="text1"/>
                    <w:right w:val="single" w:sz="0" w:space="0" w:color="000000" w:themeColor="text1"/>
                  </w:tcBorders>
                  <w:vAlign w:val="center"/>
                </w:tcPr>
                <w:p w14:paraId="19D663E6" w14:textId="77777777" w:rsidR="002D72FF" w:rsidRPr="00AE1693" w:rsidRDefault="002D72FF" w:rsidP="00434F91">
                  <w:pPr>
                    <w:rPr>
                      <w:rFonts w:cstheme="minorHAnsi"/>
                      <w:sz w:val="20"/>
                      <w:szCs w:val="20"/>
                    </w:rPr>
                  </w:pPr>
                </w:p>
              </w:tc>
              <w:tc>
                <w:tcPr>
                  <w:tcW w:w="1135"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tcPr>
                <w:p w14:paraId="50C33908"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(A)</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C6FD6DF"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(B)</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19932997"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(C) = (A) X (B)</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3DAF5402"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 xml:space="preserve">(D) = ..% *(C)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bottom"/>
                </w:tcPr>
                <w:p w14:paraId="0A369584" w14:textId="77777777" w:rsidR="002D72FF" w:rsidRPr="00AE1693" w:rsidRDefault="002D72FF" w:rsidP="00434F91">
                  <w:pPr>
                    <w:rPr>
                      <w:rFonts w:eastAsia="Calibri" w:cstheme="minorHAnsi"/>
                      <w:b/>
                      <w:bCs/>
                      <w:color w:val="000000" w:themeColor="text1"/>
                      <w:sz w:val="20"/>
                      <w:szCs w:val="20"/>
                      <w:lang w:val="en-US"/>
                    </w:rPr>
                  </w:pPr>
                  <w:r w:rsidRPr="00AE1693">
                    <w:rPr>
                      <w:rFonts w:eastAsia="Calibri" w:cstheme="minorHAnsi"/>
                      <w:b/>
                      <w:bCs/>
                      <w:color w:val="000000" w:themeColor="text1"/>
                      <w:sz w:val="20"/>
                      <w:szCs w:val="20"/>
                      <w:lang w:val="en-US"/>
                    </w:rPr>
                    <w:t>(E)=(C)+(D)</w:t>
                  </w:r>
                </w:p>
              </w:tc>
            </w:tr>
            <w:tr w:rsidR="002D72FF" w:rsidRPr="00AE1693" w14:paraId="7FDC6DB2" w14:textId="77777777" w:rsidTr="00434F91">
              <w:trPr>
                <w:gridAfter w:val="1"/>
                <w:wAfter w:w="1135" w:type="dxa"/>
                <w:trHeight w:val="240"/>
              </w:trPr>
              <w:tc>
                <w:tcPr>
                  <w:tcW w:w="1135" w:type="dxa"/>
                  <w:tcBorders>
                    <w:top w:val="nil"/>
                    <w:left w:val="single" w:sz="8" w:space="0" w:color="000000" w:themeColor="text1"/>
                    <w:bottom w:val="single" w:sz="8" w:space="0" w:color="000000" w:themeColor="text1"/>
                    <w:right w:val="single" w:sz="8" w:space="0" w:color="000000" w:themeColor="text1"/>
                  </w:tcBorders>
                  <w:vAlign w:val="bottom"/>
                </w:tcPr>
                <w:p w14:paraId="42924A72"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ECF75"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97F63"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88E889"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4DA078"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11E71F"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r>
            <w:tr w:rsidR="002D72FF" w:rsidRPr="00AE1693" w14:paraId="367FD9BC" w14:textId="77777777" w:rsidTr="00434F91">
              <w:trPr>
                <w:gridAfter w:val="1"/>
                <w:wAfter w:w="1135" w:type="dxa"/>
                <w:trHeight w:val="30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6932E9"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D2E830"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26795"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EC996C"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C672FD"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363AF0"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 </w:t>
                  </w:r>
                </w:p>
              </w:tc>
            </w:tr>
            <w:tr w:rsidR="002D72FF" w:rsidRPr="00AE1693" w14:paraId="4F5BD0C7" w14:textId="77777777" w:rsidTr="00434F91">
              <w:trPr>
                <w:trHeight w:val="300"/>
              </w:trPr>
              <w:tc>
                <w:tcPr>
                  <w:tcW w:w="794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D0E540" w14:textId="77777777" w:rsidR="002D72FF" w:rsidRPr="00AE1693" w:rsidRDefault="002D72FF" w:rsidP="00434F91">
                  <w:pPr>
                    <w:rPr>
                      <w:rFonts w:eastAsia="Calibri" w:cstheme="minorHAnsi"/>
                      <w:b/>
                      <w:bCs/>
                      <w:sz w:val="20"/>
                      <w:szCs w:val="20"/>
                      <w:lang w:val="en-US"/>
                    </w:rPr>
                  </w:pPr>
                  <w:r w:rsidRPr="00AE1693">
                    <w:rPr>
                      <w:rFonts w:eastAsia="Calibri" w:cstheme="minorHAnsi"/>
                      <w:b/>
                      <w:bCs/>
                      <w:sz w:val="20"/>
                      <w:szCs w:val="20"/>
                      <w:lang w:val="en-US"/>
                    </w:rPr>
                    <w:t xml:space="preserve">I am: </w:t>
                  </w:r>
                </w:p>
                <w:p w14:paraId="25F7ADEE" w14:textId="77777777" w:rsidR="002D72FF" w:rsidRPr="00AE1693" w:rsidRDefault="002D72FF" w:rsidP="002D72FF">
                  <w:pPr>
                    <w:pStyle w:val="ListParagraph"/>
                    <w:numPr>
                      <w:ilvl w:val="0"/>
                      <w:numId w:val="5"/>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a VAT Payer, and my VAT number is: …........</w:t>
                  </w:r>
                </w:p>
                <w:p w14:paraId="29D84998" w14:textId="77777777" w:rsidR="002D72FF" w:rsidRPr="00AE1693" w:rsidRDefault="002D72FF" w:rsidP="002D72FF">
                  <w:pPr>
                    <w:pStyle w:val="ListParagraph"/>
                    <w:numPr>
                      <w:ilvl w:val="0"/>
                      <w:numId w:val="5"/>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 xml:space="preserve">not a VAT Payer and: </w:t>
                  </w:r>
                </w:p>
                <w:p w14:paraId="698C26A8" w14:textId="77777777" w:rsidR="002D72FF" w:rsidRPr="00AE1693" w:rsidRDefault="002D72FF" w:rsidP="002D72FF">
                  <w:pPr>
                    <w:pStyle w:val="ListParagraph"/>
                    <w:numPr>
                      <w:ilvl w:val="0"/>
                      <w:numId w:val="4"/>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the reason for VAT exemptions is (</w:t>
                  </w:r>
                  <w:r w:rsidRPr="00AE1693">
                    <w:rPr>
                      <w:rFonts w:asciiTheme="minorHAnsi" w:hAnsiTheme="minorHAnsi" w:cstheme="minorHAnsi"/>
                      <w:i/>
                      <w:iCs/>
                      <w:sz w:val="20"/>
                      <w:szCs w:val="20"/>
                      <w:lang w:val="en-US"/>
                    </w:rPr>
                    <w:t>according to country legislation in which you are registered for fiscal purposes</w:t>
                  </w:r>
                  <w:r w:rsidRPr="00AE1693">
                    <w:rPr>
                      <w:rFonts w:asciiTheme="minorHAnsi" w:hAnsiTheme="minorHAnsi" w:cstheme="minorHAnsi"/>
                      <w:sz w:val="20"/>
                      <w:szCs w:val="20"/>
                      <w:lang w:val="en-US"/>
                    </w:rPr>
                    <w:t>) : …....</w:t>
                  </w:r>
                </w:p>
                <w:p w14:paraId="40B3DE16" w14:textId="77777777" w:rsidR="002D72FF" w:rsidRPr="00AE1693" w:rsidRDefault="002D72FF" w:rsidP="002D72FF">
                  <w:pPr>
                    <w:pStyle w:val="ListParagraph"/>
                    <w:numPr>
                      <w:ilvl w:val="0"/>
                      <w:numId w:val="4"/>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 xml:space="preserve">My fiscal identification number (e.g. company number) is: ...... </w:t>
                  </w:r>
                </w:p>
              </w:tc>
            </w:tr>
          </w:tbl>
          <w:p w14:paraId="10653385" w14:textId="77777777" w:rsidR="002D72FF" w:rsidRPr="00AE1693" w:rsidRDefault="002D72FF" w:rsidP="00434F91">
            <w:pPr>
              <w:rPr>
                <w:rFonts w:cstheme="minorHAnsi"/>
                <w:sz w:val="20"/>
                <w:szCs w:val="20"/>
              </w:rPr>
            </w:pPr>
          </w:p>
        </w:tc>
      </w:tr>
      <w:tr w:rsidR="002D72FF" w:rsidRPr="00AE1693" w14:paraId="0BAF6E19" w14:textId="77777777" w:rsidTr="00434F91">
        <w:trPr>
          <w:trHeight w:val="30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70724C24" w14:textId="77777777" w:rsidR="002D72FF" w:rsidRPr="00AE1693" w:rsidRDefault="002D72FF" w:rsidP="00434F91">
            <w:pPr>
              <w:rPr>
                <w:rFonts w:cstheme="minorHAnsi"/>
                <w:sz w:val="20"/>
                <w:szCs w:val="20"/>
              </w:rPr>
            </w:pPr>
            <w:r w:rsidRPr="00AE1693">
              <w:rPr>
                <w:rFonts w:eastAsia="Calibri" w:cstheme="minorHAnsi"/>
                <w:b/>
                <w:bCs/>
                <w:sz w:val="20"/>
                <w:szCs w:val="20"/>
                <w:lang w:val="en-US"/>
              </w:rPr>
              <w:lastRenderedPageBreak/>
              <w:t>8</w:t>
            </w:r>
            <w:r w:rsidRPr="00AE1693">
              <w:rPr>
                <w:rFonts w:eastAsia="Calibri" w:cstheme="minorHAnsi"/>
                <w:sz w:val="20"/>
                <w:szCs w:val="20"/>
                <w:lang w:val="en-US"/>
              </w:rPr>
              <w:t>.</w:t>
            </w:r>
            <w:r w:rsidRPr="009706FF">
              <w:rPr>
                <w:rFonts w:eastAsia="Calibri" w:cstheme="minorHAnsi"/>
                <w:b/>
                <w:bCs/>
                <w:sz w:val="20"/>
                <w:szCs w:val="20"/>
                <w:lang w:val="en-US"/>
              </w:rPr>
              <w:t>Proposal Evaluation, Criteria, Timeline</w:t>
            </w:r>
          </w:p>
        </w:tc>
        <w:tc>
          <w:tcPr>
            <w:tcW w:w="7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 w:type="dxa"/>
              <w:left w:w="115" w:type="dxa"/>
              <w:bottom w:w="43" w:type="dxa"/>
              <w:right w:w="115" w:type="dxa"/>
            </w:tcMar>
          </w:tcPr>
          <w:p w14:paraId="6BDFF0F2"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 xml:space="preserve">Proposals will be evaluated according to an objective scoring system, considering the requirements outlined in this document and the impact study briefs, particularly the ability to manage a process conforming to the timelines set out. </w:t>
            </w:r>
          </w:p>
          <w:p w14:paraId="092B551A" w14:textId="77777777" w:rsidR="002D72FF" w:rsidRPr="002114A9" w:rsidRDefault="002D72FF" w:rsidP="00434F91">
            <w:pPr>
              <w:rPr>
                <w:rFonts w:eastAsia="Calibri" w:cstheme="minorHAnsi"/>
                <w:b/>
                <w:bCs/>
                <w:sz w:val="20"/>
                <w:szCs w:val="20"/>
                <w:lang w:val="en-US"/>
              </w:rPr>
            </w:pPr>
            <w:r w:rsidRPr="002114A9">
              <w:rPr>
                <w:rFonts w:eastAsia="Calibri" w:cstheme="minorHAnsi"/>
                <w:b/>
                <w:bCs/>
                <w:sz w:val="20"/>
                <w:szCs w:val="20"/>
                <w:lang w:val="en-US"/>
              </w:rPr>
              <w:t xml:space="preserve">Evaluation criteria and weighting </w:t>
            </w:r>
          </w:p>
          <w:p w14:paraId="5E6C6A2F" w14:textId="3771EF27" w:rsidR="002D72FF" w:rsidRPr="00AE1693" w:rsidRDefault="002D72FF" w:rsidP="002D72FF">
            <w:pPr>
              <w:pStyle w:val="ListParagraph"/>
              <w:numPr>
                <w:ilvl w:val="0"/>
                <w:numId w:val="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Technical criteria (70%)</w:t>
            </w:r>
            <w:r w:rsidR="00DA3FE2">
              <w:rPr>
                <w:rFonts w:asciiTheme="minorHAnsi" w:hAnsiTheme="minorHAnsi" w:cstheme="minorHAnsi"/>
                <w:sz w:val="20"/>
                <w:szCs w:val="20"/>
                <w:lang w:val="en-US"/>
              </w:rPr>
              <w:t xml:space="preserve"> assessed based on:</w:t>
            </w:r>
          </w:p>
          <w:p w14:paraId="00327F92" w14:textId="77777777" w:rsidR="002D72FF" w:rsidRPr="00AE1693" w:rsidRDefault="002D72FF" w:rsidP="002D72FF">
            <w:pPr>
              <w:pStyle w:val="ListParagraph"/>
              <w:numPr>
                <w:ilvl w:val="1"/>
                <w:numId w:val="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Technical approach and methodology</w:t>
            </w:r>
          </w:p>
          <w:p w14:paraId="2C54A622" w14:textId="77777777" w:rsidR="002D72FF" w:rsidRPr="00AE1693" w:rsidRDefault="002D72FF" w:rsidP="002D72FF">
            <w:pPr>
              <w:pStyle w:val="ListParagraph"/>
              <w:numPr>
                <w:ilvl w:val="1"/>
                <w:numId w:val="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Team expertise</w:t>
            </w:r>
          </w:p>
          <w:p w14:paraId="467632A1" w14:textId="77777777" w:rsidR="002D72FF" w:rsidRPr="00AE1693" w:rsidRDefault="002D72FF" w:rsidP="002D72FF">
            <w:pPr>
              <w:pStyle w:val="ListParagraph"/>
              <w:numPr>
                <w:ilvl w:val="1"/>
                <w:numId w:val="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Past experience</w:t>
            </w:r>
          </w:p>
          <w:p w14:paraId="3F812F44" w14:textId="77777777" w:rsidR="002D72FF" w:rsidRPr="00AE1693" w:rsidRDefault="002D72FF" w:rsidP="002D72FF">
            <w:pPr>
              <w:pStyle w:val="ListParagraph"/>
              <w:numPr>
                <w:ilvl w:val="1"/>
                <w:numId w:val="3"/>
              </w:numPr>
              <w:spacing w:after="160" w:line="259" w:lineRule="auto"/>
              <w:contextualSpacing/>
              <w:rPr>
                <w:rFonts w:asciiTheme="minorHAnsi" w:hAnsiTheme="minorHAnsi" w:cstheme="minorHAnsi"/>
                <w:sz w:val="20"/>
                <w:szCs w:val="20"/>
                <w:lang w:val="en-US"/>
              </w:rPr>
            </w:pPr>
            <w:r w:rsidRPr="00AE1693">
              <w:rPr>
                <w:rFonts w:asciiTheme="minorHAnsi" w:hAnsiTheme="minorHAnsi" w:cstheme="minorHAnsi"/>
                <w:sz w:val="20"/>
                <w:szCs w:val="20"/>
                <w:lang w:val="en-US"/>
              </w:rPr>
              <w:t>Evaluation management</w:t>
            </w:r>
          </w:p>
          <w:p w14:paraId="59FF294E" w14:textId="2A82598F" w:rsidR="002D72FF" w:rsidRPr="002114A9" w:rsidRDefault="002D72FF" w:rsidP="002114A9">
            <w:pPr>
              <w:pStyle w:val="ListParagraph"/>
              <w:numPr>
                <w:ilvl w:val="0"/>
                <w:numId w:val="3"/>
              </w:numPr>
              <w:rPr>
                <w:rFonts w:asciiTheme="minorHAnsi" w:hAnsiTheme="minorHAnsi" w:cstheme="minorHAnsi"/>
                <w:sz w:val="20"/>
                <w:szCs w:val="20"/>
                <w:lang w:val="en-US"/>
              </w:rPr>
            </w:pPr>
            <w:r w:rsidRPr="002114A9">
              <w:rPr>
                <w:rFonts w:asciiTheme="minorHAnsi" w:hAnsiTheme="minorHAnsi" w:cstheme="minorHAnsi"/>
                <w:sz w:val="20"/>
                <w:szCs w:val="20"/>
                <w:lang w:val="en-US"/>
              </w:rPr>
              <w:t xml:space="preserve">Financial criteria (30%) assessed based on appropriateness of budget for proposed activities </w:t>
            </w:r>
          </w:p>
          <w:p w14:paraId="2CE07ADE" w14:textId="7E2B9637" w:rsidR="002D72FF" w:rsidRPr="00A2549F" w:rsidRDefault="002D72FF" w:rsidP="00434F91">
            <w:pPr>
              <w:rPr>
                <w:rFonts w:eastAsia="Calibri" w:cstheme="minorHAnsi"/>
                <w:b/>
                <w:bCs/>
                <w:sz w:val="20"/>
                <w:szCs w:val="20"/>
                <w:lang w:val="en-US"/>
              </w:rPr>
            </w:pPr>
            <w:r w:rsidRPr="00A2549F">
              <w:rPr>
                <w:rFonts w:eastAsia="Calibri" w:cstheme="minorHAnsi"/>
                <w:b/>
                <w:bCs/>
                <w:sz w:val="20"/>
                <w:szCs w:val="20"/>
                <w:lang w:val="en-US"/>
              </w:rPr>
              <w:t>Timeline</w:t>
            </w:r>
            <w:r w:rsidR="00DA3FE2" w:rsidRPr="00A2549F">
              <w:rPr>
                <w:rFonts w:eastAsia="Calibri" w:cstheme="minorHAnsi"/>
                <w:b/>
                <w:bCs/>
                <w:sz w:val="20"/>
                <w:szCs w:val="20"/>
                <w:lang w:val="en-US"/>
              </w:rPr>
              <w:t xml:space="preserve"> for</w:t>
            </w:r>
            <w:r w:rsidR="00A2549F" w:rsidRPr="00A2549F">
              <w:rPr>
                <w:rFonts w:eastAsia="Calibri" w:cstheme="minorHAnsi"/>
                <w:b/>
                <w:bCs/>
                <w:sz w:val="20"/>
                <w:szCs w:val="20"/>
                <w:lang w:val="en-US"/>
              </w:rPr>
              <w:t xml:space="preserve"> selection and contracting</w:t>
            </w:r>
          </w:p>
          <w:tbl>
            <w:tblPr>
              <w:tblStyle w:val="TableGrid"/>
              <w:tblW w:w="0" w:type="auto"/>
              <w:tblLayout w:type="fixed"/>
              <w:tblLook w:val="04A0" w:firstRow="1" w:lastRow="0" w:firstColumn="1" w:lastColumn="0" w:noHBand="0" w:noVBand="1"/>
            </w:tblPr>
            <w:tblGrid>
              <w:gridCol w:w="3471"/>
              <w:gridCol w:w="3471"/>
            </w:tblGrid>
            <w:tr w:rsidR="002D72FF" w:rsidRPr="00AE1693" w14:paraId="4E026F1C" w14:textId="77777777" w:rsidTr="00434F91">
              <w:tc>
                <w:tcPr>
                  <w:tcW w:w="3471" w:type="dxa"/>
                </w:tcPr>
                <w:p w14:paraId="3AD64ED8"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Request for proposals published</w:t>
                  </w:r>
                </w:p>
              </w:tc>
              <w:tc>
                <w:tcPr>
                  <w:tcW w:w="3471" w:type="dxa"/>
                </w:tcPr>
                <w:p w14:paraId="4A9B9726"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31 January 2024</w:t>
                  </w:r>
                </w:p>
              </w:tc>
            </w:tr>
            <w:tr w:rsidR="002D72FF" w:rsidRPr="00AE1693" w14:paraId="07188BBD" w14:textId="77777777" w:rsidTr="00434F91">
              <w:tc>
                <w:tcPr>
                  <w:tcW w:w="3471" w:type="dxa"/>
                </w:tcPr>
                <w:p w14:paraId="4E6D6B00"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Proposal submission</w:t>
                  </w:r>
                </w:p>
              </w:tc>
              <w:tc>
                <w:tcPr>
                  <w:tcW w:w="3471" w:type="dxa"/>
                </w:tcPr>
                <w:p w14:paraId="56AEB312"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19 February 2024, midnight GMT</w:t>
                  </w:r>
                </w:p>
              </w:tc>
            </w:tr>
            <w:tr w:rsidR="002D72FF" w:rsidRPr="00AE1693" w14:paraId="6156EFD0" w14:textId="77777777" w:rsidTr="00434F91">
              <w:tc>
                <w:tcPr>
                  <w:tcW w:w="3471" w:type="dxa"/>
                </w:tcPr>
                <w:p w14:paraId="53B58F1A"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Contractor selection</w:t>
                  </w:r>
                </w:p>
              </w:tc>
              <w:tc>
                <w:tcPr>
                  <w:tcW w:w="3471" w:type="dxa"/>
                </w:tcPr>
                <w:p w14:paraId="773FB02F"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23 February 2024</w:t>
                  </w:r>
                </w:p>
              </w:tc>
            </w:tr>
            <w:tr w:rsidR="002D72FF" w:rsidRPr="00AE1693" w14:paraId="04A580C0" w14:textId="77777777" w:rsidTr="00434F91">
              <w:tc>
                <w:tcPr>
                  <w:tcW w:w="3471" w:type="dxa"/>
                </w:tcPr>
                <w:p w14:paraId="5F3AD866"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Contract signed</w:t>
                  </w:r>
                </w:p>
              </w:tc>
              <w:tc>
                <w:tcPr>
                  <w:tcW w:w="3471" w:type="dxa"/>
                </w:tcPr>
                <w:p w14:paraId="6F8CB916"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1 March 2024</w:t>
                  </w:r>
                </w:p>
              </w:tc>
            </w:tr>
            <w:tr w:rsidR="002D72FF" w:rsidRPr="00AE1693" w14:paraId="690A5A40" w14:textId="77777777" w:rsidTr="00434F91">
              <w:tc>
                <w:tcPr>
                  <w:tcW w:w="3471" w:type="dxa"/>
                </w:tcPr>
                <w:p w14:paraId="5C48EDAF"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Contract start date</w:t>
                  </w:r>
                </w:p>
              </w:tc>
              <w:tc>
                <w:tcPr>
                  <w:tcW w:w="3471" w:type="dxa"/>
                </w:tcPr>
                <w:p w14:paraId="74D34BA8" w14:textId="77777777" w:rsidR="002D72FF" w:rsidRPr="00AE1693" w:rsidRDefault="002D72FF" w:rsidP="00434F91">
                  <w:pPr>
                    <w:rPr>
                      <w:rFonts w:eastAsia="Calibri" w:cstheme="minorHAnsi"/>
                      <w:sz w:val="20"/>
                      <w:szCs w:val="20"/>
                      <w:lang w:val="en-US"/>
                    </w:rPr>
                  </w:pPr>
                  <w:r w:rsidRPr="00AE1693">
                    <w:rPr>
                      <w:rFonts w:eastAsia="Calibri" w:cstheme="minorHAnsi"/>
                      <w:sz w:val="20"/>
                      <w:szCs w:val="20"/>
                      <w:lang w:val="en-US"/>
                    </w:rPr>
                    <w:t>4 March 2024</w:t>
                  </w:r>
                </w:p>
              </w:tc>
            </w:tr>
          </w:tbl>
          <w:p w14:paraId="4D352A95" w14:textId="77777777" w:rsidR="002D72FF" w:rsidRPr="00AE1693" w:rsidRDefault="002D72FF" w:rsidP="00434F91">
            <w:pPr>
              <w:rPr>
                <w:rFonts w:eastAsia="Calibri" w:cstheme="minorHAnsi"/>
                <w:sz w:val="20"/>
                <w:szCs w:val="20"/>
                <w:lang w:val="en-US"/>
              </w:rPr>
            </w:pPr>
          </w:p>
        </w:tc>
      </w:tr>
    </w:tbl>
    <w:p w14:paraId="641F71FF" w14:textId="77777777" w:rsidR="002D72FF" w:rsidRPr="00AE1693" w:rsidRDefault="002D72FF" w:rsidP="002D72FF">
      <w:pPr>
        <w:rPr>
          <w:rFonts w:cstheme="minorHAnsi"/>
          <w:sz w:val="20"/>
          <w:szCs w:val="20"/>
        </w:rPr>
      </w:pPr>
    </w:p>
    <w:p w14:paraId="25653754" w14:textId="77777777" w:rsidR="002D72FF" w:rsidRPr="00AE1693" w:rsidRDefault="002D72FF" w:rsidP="002D72FF">
      <w:pPr>
        <w:rPr>
          <w:rFonts w:cstheme="minorHAnsi"/>
          <w:sz w:val="20"/>
          <w:szCs w:val="20"/>
        </w:rPr>
      </w:pPr>
      <w:r w:rsidRPr="00AE1693">
        <w:rPr>
          <w:rFonts w:cstheme="minorHAnsi"/>
          <w:sz w:val="20"/>
          <w:szCs w:val="20"/>
        </w:rPr>
        <w:br w:type="page"/>
      </w:r>
    </w:p>
    <w:p w14:paraId="37085660" w14:textId="77777777" w:rsidR="002D72FF" w:rsidRPr="00AE1693" w:rsidRDefault="002D72FF" w:rsidP="002D72FF">
      <w:pPr>
        <w:jc w:val="center"/>
        <w:rPr>
          <w:rFonts w:cstheme="minorHAnsi"/>
          <w:b/>
          <w:bCs/>
          <w:sz w:val="24"/>
          <w:szCs w:val="24"/>
        </w:rPr>
      </w:pPr>
      <w:r w:rsidRPr="00AE1693">
        <w:rPr>
          <w:rFonts w:cstheme="minorHAnsi"/>
          <w:b/>
          <w:bCs/>
          <w:sz w:val="24"/>
          <w:szCs w:val="24"/>
        </w:rPr>
        <w:lastRenderedPageBreak/>
        <w:t>Annex 1: Impact study briefs</w:t>
      </w:r>
    </w:p>
    <w:p w14:paraId="55E677F1" w14:textId="77777777" w:rsidR="002D72FF" w:rsidRPr="00AE1693" w:rsidRDefault="002D72FF" w:rsidP="002D72FF">
      <w:pPr>
        <w:rPr>
          <w:rFonts w:cstheme="minorHAnsi"/>
          <w:b/>
          <w:bCs/>
          <w:sz w:val="20"/>
          <w:szCs w:val="20"/>
        </w:rPr>
      </w:pPr>
      <w:r w:rsidRPr="00AE1693">
        <w:rPr>
          <w:rFonts w:cstheme="minorHAnsi"/>
          <w:b/>
          <w:bCs/>
          <w:sz w:val="20"/>
          <w:szCs w:val="20"/>
        </w:rPr>
        <w:br w:type="page"/>
      </w:r>
    </w:p>
    <w:p w14:paraId="059434F1" w14:textId="77777777" w:rsidR="002D72FF" w:rsidRPr="00AE1693" w:rsidRDefault="002D72FF" w:rsidP="002D72FF">
      <w:pPr>
        <w:rPr>
          <w:rFonts w:cstheme="minorHAnsi"/>
          <w:b/>
          <w:bCs/>
          <w:sz w:val="20"/>
          <w:szCs w:val="20"/>
        </w:rPr>
      </w:pPr>
      <w:r w:rsidRPr="00AE1693">
        <w:rPr>
          <w:rFonts w:cstheme="minorHAnsi"/>
          <w:b/>
          <w:bCs/>
          <w:noProof/>
          <w:color w:val="2B579A"/>
          <w:sz w:val="20"/>
          <w:szCs w:val="20"/>
          <w:shd w:val="clear" w:color="auto" w:fill="E6E6E6"/>
        </w:rPr>
        <w:lastRenderedPageBreak/>
        <mc:AlternateContent>
          <mc:Choice Requires="wps">
            <w:drawing>
              <wp:anchor distT="45720" distB="45720" distL="114300" distR="114300" simplePos="0" relativeHeight="251655680" behindDoc="0" locked="0" layoutInCell="1" allowOverlap="1" wp14:anchorId="30E5370A" wp14:editId="647D5884">
                <wp:simplePos x="0" y="0"/>
                <wp:positionH relativeFrom="margin">
                  <wp:align>left</wp:align>
                </wp:positionH>
                <wp:positionV relativeFrom="paragraph">
                  <wp:posOffset>523875</wp:posOffset>
                </wp:positionV>
                <wp:extent cx="5695950" cy="736600"/>
                <wp:effectExtent l="0" t="0" r="19050" b="25400"/>
                <wp:wrapSquare wrapText="bothSides"/>
                <wp:docPr id="222698307" name="Text Box 222698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36600"/>
                        </a:xfrm>
                        <a:prstGeom prst="rect">
                          <a:avLst/>
                        </a:prstGeom>
                        <a:solidFill>
                          <a:srgbClr val="FFFFFF"/>
                        </a:solidFill>
                        <a:ln w="9525">
                          <a:solidFill>
                            <a:srgbClr val="000000"/>
                          </a:solidFill>
                          <a:miter lim="800000"/>
                          <a:headEnd/>
                          <a:tailEnd/>
                        </a:ln>
                      </wps:spPr>
                      <wps:txbx>
                        <w:txbxContent>
                          <w:p w14:paraId="118AA054" w14:textId="77777777" w:rsidR="002D72FF" w:rsidRPr="0061660C" w:rsidRDefault="002D72FF" w:rsidP="002D72FF">
                            <w:pPr>
                              <w:rPr>
                                <w:b/>
                                <w:bCs/>
                                <w:sz w:val="20"/>
                                <w:szCs w:val="20"/>
                              </w:rPr>
                            </w:pPr>
                            <w:r w:rsidRPr="0061660C">
                              <w:rPr>
                                <w:b/>
                                <w:bCs/>
                                <w:sz w:val="20"/>
                                <w:szCs w:val="20"/>
                              </w:rPr>
                              <w:t>Relevant Strategy commitment:</w:t>
                            </w:r>
                          </w:p>
                          <w:p w14:paraId="0E35649A" w14:textId="77777777" w:rsidR="002D72FF" w:rsidRPr="00220109" w:rsidRDefault="002D72FF" w:rsidP="002D72FF">
                            <w:pPr>
                              <w:pStyle w:val="ListBullet"/>
                              <w:rPr>
                                <w:i/>
                                <w:iCs/>
                                <w:u w:val="single"/>
                              </w:rPr>
                            </w:pPr>
                            <w:r w:rsidRPr="0061660C">
                              <w:rPr>
                                <w:i/>
                                <w:iCs/>
                                <w:sz w:val="20"/>
                                <w:szCs w:val="20"/>
                                <w:bdr w:val="none" w:sz="0" w:space="0" w:color="auto" w:frame="1"/>
                                <w:shd w:val="clear" w:color="auto" w:fill="FFFFFF"/>
                              </w:rPr>
                              <w:t>By 2028, there will be an increase in societal support for the prevention of sexual and gender-based violence, access to abortion and promotion of gender equality</w:t>
                            </w:r>
                            <w:r w:rsidRPr="00220109">
                              <w:rPr>
                                <w:i/>
                                <w:iCs/>
                                <w:bdr w:val="none" w:sz="0" w:space="0" w:color="auto" w:frame="1"/>
                                <w:shd w:val="clear" w:color="auto" w:fill="FFFFFF"/>
                              </w:rPr>
                              <w:t xml:space="preserve">. </w:t>
                            </w:r>
                          </w:p>
                          <w:p w14:paraId="31611042" w14:textId="77777777" w:rsidR="002D72FF" w:rsidRDefault="002D72FF" w:rsidP="002D7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5370A" id="_x0000_t202" coordsize="21600,21600" o:spt="202" path="m,l,21600r21600,l21600,xe">
                <v:stroke joinstyle="miter"/>
                <v:path gradientshapeok="t" o:connecttype="rect"/>
              </v:shapetype>
              <v:shape id="Text Box 222698307" o:spid="_x0000_s1026" type="#_x0000_t202" style="position:absolute;margin-left:0;margin-top:41.25pt;width:448.5pt;height:58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a8EAIAAB8EAAAOAAAAZHJzL2Uyb0RvYy54bWysU9uO2yAQfa/Uf0C8N3bSOLux4qy22aaq&#10;tL1I234AxjhGBYYCiZ1+/Q44m4227UtVHhDDDIeZM2dWN4NW5CCcl2AqOp3klAjDoZFmV9Hv37Zv&#10;rin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">
                <v:textbox>
                  <w:txbxContent>
                    <w:p w14:paraId="118AA054" w14:textId="77777777" w:rsidR="002D72FF" w:rsidRPr="0061660C" w:rsidRDefault="002D72FF" w:rsidP="002D72FF">
                      <w:pPr>
                        <w:rPr>
                          <w:b/>
                          <w:bCs/>
                          <w:sz w:val="20"/>
                          <w:szCs w:val="20"/>
                        </w:rPr>
                      </w:pPr>
                      <w:r w:rsidRPr="0061660C">
                        <w:rPr>
                          <w:b/>
                          <w:bCs/>
                          <w:sz w:val="20"/>
                          <w:szCs w:val="20"/>
                        </w:rPr>
                        <w:t>Relevant Strategy commitment:</w:t>
                      </w:r>
                    </w:p>
                    <w:p w14:paraId="0E35649A" w14:textId="77777777" w:rsidR="002D72FF" w:rsidRPr="00220109" w:rsidRDefault="002D72FF" w:rsidP="002D72FF">
                      <w:pPr>
                        <w:pStyle w:val="ListBullet"/>
                        <w:rPr>
                          <w:i/>
                          <w:iCs/>
                          <w:u w:val="single"/>
                        </w:rPr>
                      </w:pPr>
                      <w:r w:rsidRPr="0061660C">
                        <w:rPr>
                          <w:i/>
                          <w:iCs/>
                          <w:sz w:val="20"/>
                          <w:szCs w:val="20"/>
                          <w:bdr w:val="none" w:sz="0" w:space="0" w:color="auto" w:frame="1"/>
                          <w:shd w:val="clear" w:color="auto" w:fill="FFFFFF"/>
                        </w:rPr>
                        <w:t>By 2028, there will be an increase in societal support for the prevention of sexual and gender-based violence, access to abortion and promotion of gender equality</w:t>
                      </w:r>
                      <w:r w:rsidRPr="00220109">
                        <w:rPr>
                          <w:i/>
                          <w:iCs/>
                          <w:bdr w:val="none" w:sz="0" w:space="0" w:color="auto" w:frame="1"/>
                          <w:shd w:val="clear" w:color="auto" w:fill="FFFFFF"/>
                        </w:rPr>
                        <w:t xml:space="preserve">. </w:t>
                      </w:r>
                    </w:p>
                    <w:p w14:paraId="31611042" w14:textId="77777777" w:rsidR="002D72FF" w:rsidRDefault="002D72FF" w:rsidP="002D72FF"/>
                  </w:txbxContent>
                </v:textbox>
                <w10:wrap type="square" anchorx="margin"/>
              </v:shape>
            </w:pict>
          </mc:Fallback>
        </mc:AlternateContent>
      </w:r>
      <w:r w:rsidRPr="00AE1693">
        <w:rPr>
          <w:rFonts w:cstheme="minorHAnsi"/>
          <w:b/>
          <w:bCs/>
          <w:sz w:val="20"/>
          <w:szCs w:val="20"/>
        </w:rPr>
        <w:t>Indicator 6:</w:t>
      </w:r>
      <w:r w:rsidRPr="00AE1693">
        <w:rPr>
          <w:rFonts w:cstheme="minorHAnsi"/>
          <w:sz w:val="20"/>
          <w:szCs w:val="20"/>
        </w:rPr>
        <w:t xml:space="preserve"> </w:t>
      </w:r>
      <w:r w:rsidRPr="00AE1693">
        <w:rPr>
          <w:rFonts w:cstheme="minorHAnsi"/>
          <w:b/>
          <w:bCs/>
          <w:sz w:val="20"/>
          <w:szCs w:val="20"/>
        </w:rPr>
        <w:t xml:space="preserve">Shifts in perception and attitudes in relation to gender equality and inclusion across the Federation and the communities we serve.  </w:t>
      </w:r>
    </w:p>
    <w:p w14:paraId="21BFB39B" w14:textId="77777777" w:rsidR="002D72FF" w:rsidRPr="00AE1693" w:rsidRDefault="002D72FF" w:rsidP="002D72FF">
      <w:pPr>
        <w:rPr>
          <w:rFonts w:cstheme="minorHAnsi"/>
          <w:b/>
          <w:bCs/>
          <w:sz w:val="20"/>
          <w:szCs w:val="20"/>
        </w:rPr>
      </w:pPr>
    </w:p>
    <w:p w14:paraId="525A01AC" w14:textId="77777777" w:rsidR="002D72FF" w:rsidRPr="00AE1693" w:rsidRDefault="002D72FF" w:rsidP="002D72FF">
      <w:pPr>
        <w:rPr>
          <w:rFonts w:cstheme="minorHAnsi"/>
          <w:b/>
          <w:bCs/>
          <w:sz w:val="20"/>
          <w:szCs w:val="20"/>
        </w:rPr>
      </w:pPr>
      <w:r w:rsidRPr="00AE1693">
        <w:rPr>
          <w:rFonts w:cstheme="minorHAnsi"/>
          <w:b/>
          <w:bCs/>
          <w:sz w:val="20"/>
          <w:szCs w:val="20"/>
        </w:rPr>
        <w:t>Key research question</w:t>
      </w:r>
    </w:p>
    <w:p w14:paraId="61FEFE72" w14:textId="77777777" w:rsidR="002D72FF" w:rsidRDefault="002D72FF" w:rsidP="002D72FF">
      <w:pPr>
        <w:rPr>
          <w:rFonts w:cstheme="minorHAnsi"/>
          <w:sz w:val="20"/>
          <w:szCs w:val="20"/>
        </w:rPr>
      </w:pPr>
      <w:r w:rsidRPr="00AE1693">
        <w:rPr>
          <w:rFonts w:cstheme="minorHAnsi"/>
          <w:sz w:val="20"/>
          <w:szCs w:val="20"/>
        </w:rPr>
        <w:t>How have knowledge, attitudes and practice around gender – including gender identities, roles and norms – changed across the life of the Strategy? How has IPPF’s Strategy contributed to these changes?</w:t>
      </w:r>
    </w:p>
    <w:p w14:paraId="44DEAD38" w14:textId="77777777" w:rsidR="005A0000" w:rsidRPr="00AE1693" w:rsidRDefault="005A0000" w:rsidP="002D72FF">
      <w:pPr>
        <w:rPr>
          <w:rFonts w:cstheme="minorHAnsi"/>
          <w:sz w:val="20"/>
          <w:szCs w:val="20"/>
        </w:rPr>
      </w:pPr>
    </w:p>
    <w:tbl>
      <w:tblPr>
        <w:tblStyle w:val="TableGrid"/>
        <w:tblW w:w="0" w:type="auto"/>
        <w:tblLook w:val="04A0" w:firstRow="1" w:lastRow="0" w:firstColumn="1" w:lastColumn="0" w:noHBand="0" w:noVBand="1"/>
      </w:tblPr>
      <w:tblGrid>
        <w:gridCol w:w="1435"/>
        <w:gridCol w:w="7200"/>
      </w:tblGrid>
      <w:tr w:rsidR="002D72FF" w:rsidRPr="00AE1693" w14:paraId="1E1CEE67" w14:textId="77777777" w:rsidTr="00434F91">
        <w:tc>
          <w:tcPr>
            <w:tcW w:w="9016" w:type="dxa"/>
            <w:gridSpan w:val="2"/>
            <w:shd w:val="clear" w:color="auto" w:fill="D9D9D9" w:themeFill="background1" w:themeFillShade="D9"/>
          </w:tcPr>
          <w:p w14:paraId="0E7448E3" w14:textId="77777777" w:rsidR="002D72FF" w:rsidRPr="00AE1693" w:rsidRDefault="002D72FF" w:rsidP="00434F91">
            <w:pPr>
              <w:rPr>
                <w:rFonts w:cstheme="minorHAnsi"/>
                <w:sz w:val="20"/>
                <w:szCs w:val="20"/>
              </w:rPr>
            </w:pPr>
            <w:r w:rsidRPr="00AE1693">
              <w:rPr>
                <w:rFonts w:cstheme="minorHAnsi"/>
                <w:b/>
                <w:bCs/>
                <w:sz w:val="20"/>
                <w:szCs w:val="20"/>
              </w:rPr>
              <w:t>Sub-research questions – cross-cutting</w:t>
            </w:r>
          </w:p>
        </w:tc>
      </w:tr>
      <w:tr w:rsidR="002D72FF" w:rsidRPr="00AE1693" w14:paraId="41729497" w14:textId="77777777" w:rsidTr="00434F91">
        <w:tc>
          <w:tcPr>
            <w:tcW w:w="1462" w:type="dxa"/>
          </w:tcPr>
          <w:p w14:paraId="56F2B943" w14:textId="77777777" w:rsidR="002D72FF" w:rsidRPr="00AE1693" w:rsidRDefault="002D72FF" w:rsidP="00434F91">
            <w:pPr>
              <w:rPr>
                <w:rFonts w:cstheme="minorHAnsi"/>
                <w:b/>
                <w:bCs/>
                <w:sz w:val="20"/>
                <w:szCs w:val="20"/>
              </w:rPr>
            </w:pPr>
            <w:r w:rsidRPr="00AE1693">
              <w:rPr>
                <w:rFonts w:cstheme="minorHAnsi"/>
                <w:b/>
                <w:bCs/>
                <w:sz w:val="20"/>
                <w:szCs w:val="20"/>
              </w:rPr>
              <w:t>2024 data collection – priority RQs</w:t>
            </w:r>
          </w:p>
        </w:tc>
        <w:tc>
          <w:tcPr>
            <w:tcW w:w="7554" w:type="dxa"/>
          </w:tcPr>
          <w:p w14:paraId="38BA22FF"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What are the social, gender and sexuality norms that promote equitable gender roles, prevent various forms of SGBV including FGM and child marriage, and enhance the reproductive autonomy of women and girls, including in humanitarian settings? </w:t>
            </w:r>
          </w:p>
          <w:p w14:paraId="57DD5A71"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To what extent and how does the use of gender and inclusion tools (e.g. Gender Assessment Toolkit and the Diverse SOGIESC Inclusion Self-Assessment toolkit, Intersectionality in Gender-Based Violence Programming Toolkit) advance MAs’ gender and inclusion policies and practices?</w:t>
            </w:r>
          </w:p>
          <w:p w14:paraId="61E377AB" w14:textId="77777777" w:rsidR="002D72FF" w:rsidRPr="00AE1693" w:rsidRDefault="002D72FF" w:rsidP="002D72FF">
            <w:pPr>
              <w:pStyle w:val="ListBullet"/>
              <w:numPr>
                <w:ilvl w:val="0"/>
                <w:numId w:val="16"/>
              </w:numPr>
              <w:spacing w:after="0" w:line="240" w:lineRule="auto"/>
              <w:rPr>
                <w:rFonts w:cstheme="minorHAnsi"/>
                <w:sz w:val="20"/>
                <w:szCs w:val="20"/>
                <w:u w:val="single"/>
              </w:rPr>
            </w:pPr>
            <w:r w:rsidRPr="00AE1693">
              <w:rPr>
                <w:rFonts w:cstheme="minorHAnsi"/>
                <w:sz w:val="20"/>
                <w:szCs w:val="20"/>
              </w:rPr>
              <w:t>How have MAs adapted their programmes and services to promote more equitable gender roles?</w:t>
            </w:r>
          </w:p>
          <w:p w14:paraId="6E72B40F"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How have the efforts of the opposition, and more broadly disinformation and ‘culture wars’ around gender and sexuality, contributed to societal changes in attitudes and views, and what specific approaches can IPPF take in response?</w:t>
            </w:r>
          </w:p>
        </w:tc>
      </w:tr>
      <w:tr w:rsidR="002D72FF" w:rsidRPr="00AE1693" w14:paraId="7C254126" w14:textId="77777777" w:rsidTr="00434F91">
        <w:tc>
          <w:tcPr>
            <w:tcW w:w="1462" w:type="dxa"/>
            <w:shd w:val="clear" w:color="auto" w:fill="F2F2F2" w:themeFill="background1" w:themeFillShade="F2"/>
          </w:tcPr>
          <w:p w14:paraId="63BB497B" w14:textId="77777777" w:rsidR="002D72FF" w:rsidRPr="00AE1693" w:rsidRDefault="002D72FF" w:rsidP="00434F91">
            <w:pPr>
              <w:rPr>
                <w:rFonts w:cstheme="minorHAnsi"/>
                <w:b/>
                <w:bCs/>
                <w:sz w:val="20"/>
                <w:szCs w:val="20"/>
              </w:rPr>
            </w:pPr>
            <w:r w:rsidRPr="00AE1693">
              <w:rPr>
                <w:rFonts w:cstheme="minorHAnsi"/>
                <w:b/>
                <w:bCs/>
                <w:sz w:val="20"/>
                <w:szCs w:val="20"/>
              </w:rPr>
              <w:t>2025, 2027 additional RQs</w:t>
            </w:r>
          </w:p>
        </w:tc>
        <w:tc>
          <w:tcPr>
            <w:tcW w:w="7554" w:type="dxa"/>
            <w:shd w:val="clear" w:color="auto" w:fill="F2F2F2" w:themeFill="background1" w:themeFillShade="F2"/>
          </w:tcPr>
          <w:p w14:paraId="22FEF1B7"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What have been some of the most successful approaches employed by MAs to promote gender equality and inclusion in the community? </w:t>
            </w:r>
          </w:p>
          <w:p w14:paraId="298BC0E4"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To what extent and how does targeted training/sensitisation on drivers of inequalities lead to change in provider perceptions, attitudes and behaviour related to gender identity? </w:t>
            </w:r>
          </w:p>
          <w:p w14:paraId="7173A246"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What changes result from positive shifts in norms related to women, girls and SOGIESC individuals and communities, in terms of levels of SGBV, access to abortion and gender equality? </w:t>
            </w:r>
          </w:p>
        </w:tc>
      </w:tr>
      <w:tr w:rsidR="002D72FF" w:rsidRPr="00AE1693" w14:paraId="3235BDD1" w14:textId="77777777" w:rsidTr="00434F91">
        <w:tc>
          <w:tcPr>
            <w:tcW w:w="9016" w:type="dxa"/>
            <w:gridSpan w:val="2"/>
            <w:shd w:val="clear" w:color="auto" w:fill="D9D9D9" w:themeFill="background1" w:themeFillShade="D9"/>
          </w:tcPr>
          <w:p w14:paraId="3C415A66" w14:textId="77777777" w:rsidR="002D72FF" w:rsidRPr="00AE1693" w:rsidRDefault="002D72FF" w:rsidP="00434F91">
            <w:pPr>
              <w:pStyle w:val="ListBullet"/>
              <w:numPr>
                <w:ilvl w:val="0"/>
                <w:numId w:val="0"/>
              </w:numPr>
              <w:ind w:left="360" w:hanging="360"/>
              <w:rPr>
                <w:rFonts w:cstheme="minorHAnsi"/>
                <w:b/>
                <w:bCs/>
                <w:sz w:val="20"/>
                <w:szCs w:val="20"/>
              </w:rPr>
            </w:pPr>
            <w:r w:rsidRPr="00AE1693">
              <w:rPr>
                <w:rFonts w:cstheme="minorHAnsi"/>
                <w:b/>
                <w:bCs/>
                <w:sz w:val="20"/>
                <w:szCs w:val="20"/>
              </w:rPr>
              <w:t>Sub-research questions - SGBV specific:</w:t>
            </w:r>
          </w:p>
        </w:tc>
      </w:tr>
      <w:tr w:rsidR="002D72FF" w:rsidRPr="00AE1693" w14:paraId="548C2301" w14:textId="77777777" w:rsidTr="00434F91">
        <w:tc>
          <w:tcPr>
            <w:tcW w:w="1462" w:type="dxa"/>
          </w:tcPr>
          <w:p w14:paraId="52BFCEB2" w14:textId="77777777" w:rsidR="002D72FF" w:rsidRPr="00AE1693" w:rsidRDefault="002D72FF" w:rsidP="00434F91">
            <w:pPr>
              <w:rPr>
                <w:rFonts w:cstheme="minorHAnsi"/>
                <w:b/>
                <w:bCs/>
                <w:sz w:val="20"/>
                <w:szCs w:val="20"/>
              </w:rPr>
            </w:pPr>
            <w:r w:rsidRPr="00AE1693">
              <w:rPr>
                <w:rFonts w:cstheme="minorHAnsi"/>
                <w:b/>
                <w:bCs/>
                <w:sz w:val="20"/>
                <w:szCs w:val="20"/>
              </w:rPr>
              <w:t>2024 data collection – priority RQs</w:t>
            </w:r>
          </w:p>
        </w:tc>
        <w:tc>
          <w:tcPr>
            <w:tcW w:w="7554" w:type="dxa"/>
          </w:tcPr>
          <w:p w14:paraId="23695F5A"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To what extent are IPPF guidelines on sexual and gender-based violence available and used by providers within clinics?</w:t>
            </w:r>
          </w:p>
          <w:p w14:paraId="1C7BCDA0" w14:textId="77777777" w:rsidR="002D72FF" w:rsidRPr="00AE1693" w:rsidRDefault="002D72FF" w:rsidP="002D72FF">
            <w:pPr>
              <w:pStyle w:val="ListParagraph"/>
              <w:numPr>
                <w:ilvl w:val="0"/>
                <w:numId w:val="16"/>
              </w:numPr>
              <w:spacing w:after="0" w:line="240" w:lineRule="auto"/>
              <w:contextualSpacing/>
              <w:rPr>
                <w:rFonts w:asciiTheme="minorHAnsi" w:hAnsiTheme="minorHAnsi" w:cstheme="minorHAnsi"/>
                <w:sz w:val="20"/>
                <w:szCs w:val="20"/>
              </w:rPr>
            </w:pPr>
            <w:r w:rsidRPr="00AE1693">
              <w:rPr>
                <w:rFonts w:asciiTheme="minorHAnsi" w:hAnsiTheme="minorHAnsi" w:cstheme="minorHAnsi"/>
                <w:sz w:val="20"/>
                <w:szCs w:val="20"/>
              </w:rPr>
              <w:t>What strategies and approaches are MAs employing to prevent SGBV and provide support to survivors, including in humanitarian contexts where relevant?</w:t>
            </w:r>
          </w:p>
        </w:tc>
      </w:tr>
      <w:tr w:rsidR="002D72FF" w:rsidRPr="00AE1693" w14:paraId="52F43E11" w14:textId="77777777" w:rsidTr="00434F91">
        <w:tc>
          <w:tcPr>
            <w:tcW w:w="1462" w:type="dxa"/>
            <w:shd w:val="clear" w:color="auto" w:fill="F2F2F2" w:themeFill="background1" w:themeFillShade="F2"/>
          </w:tcPr>
          <w:p w14:paraId="1F27B9D4" w14:textId="77777777" w:rsidR="002D72FF" w:rsidRPr="00AE1693" w:rsidRDefault="002D72FF" w:rsidP="00434F91">
            <w:pPr>
              <w:rPr>
                <w:rFonts w:cstheme="minorHAnsi"/>
                <w:b/>
                <w:bCs/>
                <w:sz w:val="20"/>
                <w:szCs w:val="20"/>
              </w:rPr>
            </w:pPr>
            <w:r w:rsidRPr="00AE1693">
              <w:rPr>
                <w:rFonts w:cstheme="minorHAnsi"/>
                <w:b/>
                <w:bCs/>
                <w:sz w:val="20"/>
                <w:szCs w:val="20"/>
              </w:rPr>
              <w:t>2025, 2027 additional RQs</w:t>
            </w:r>
          </w:p>
        </w:tc>
        <w:tc>
          <w:tcPr>
            <w:tcW w:w="7554" w:type="dxa"/>
            <w:shd w:val="clear" w:color="auto" w:fill="F2F2F2" w:themeFill="background1" w:themeFillShade="F2"/>
          </w:tcPr>
          <w:p w14:paraId="5210B309"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How successful are these approaches in preventing SGBV and supporting survivors? </w:t>
            </w:r>
          </w:p>
          <w:p w14:paraId="65B142E0"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Where there is prevalence of FGM, what are the actions taken by MAs to prevent FGM and how are they addressing this into their SRH services?  How successful are these approaches in preventing FGM?  </w:t>
            </w:r>
          </w:p>
          <w:p w14:paraId="5C5F66B6" w14:textId="77777777" w:rsidR="002D72FF" w:rsidRPr="00AE1693" w:rsidRDefault="002D72FF" w:rsidP="002D72FF">
            <w:pPr>
              <w:pStyle w:val="ListBullet"/>
              <w:numPr>
                <w:ilvl w:val="0"/>
                <w:numId w:val="16"/>
              </w:numPr>
              <w:spacing w:after="0" w:line="240" w:lineRule="auto"/>
              <w:rPr>
                <w:rFonts w:cstheme="minorHAnsi"/>
                <w:sz w:val="20"/>
                <w:szCs w:val="20"/>
              </w:rPr>
            </w:pPr>
            <w:r w:rsidRPr="00AE1693">
              <w:rPr>
                <w:rFonts w:cstheme="minorHAnsi"/>
                <w:sz w:val="20"/>
                <w:szCs w:val="20"/>
              </w:rPr>
              <w:t xml:space="preserve">What opportunities have emergency situations provided for social change that enhanced gender equality and strengthened national systems towards recovery and rebuilding? </w:t>
            </w:r>
          </w:p>
        </w:tc>
      </w:tr>
    </w:tbl>
    <w:p w14:paraId="7EFDE5DE" w14:textId="77777777" w:rsidR="002D72FF" w:rsidRPr="00AE1693" w:rsidRDefault="002D72FF" w:rsidP="002D72FF">
      <w:pPr>
        <w:rPr>
          <w:rFonts w:cstheme="minorHAnsi"/>
          <w:sz w:val="20"/>
          <w:szCs w:val="20"/>
        </w:rPr>
      </w:pPr>
    </w:p>
    <w:p w14:paraId="64F9EC11" w14:textId="77777777" w:rsidR="005A0000" w:rsidRDefault="005A0000" w:rsidP="002D72FF">
      <w:pPr>
        <w:rPr>
          <w:rFonts w:cstheme="minorHAnsi"/>
          <w:b/>
          <w:bCs/>
          <w:sz w:val="20"/>
          <w:szCs w:val="20"/>
        </w:rPr>
      </w:pPr>
    </w:p>
    <w:p w14:paraId="6D6871BA" w14:textId="2BC5F94E" w:rsidR="002D72FF" w:rsidRPr="00AE1693" w:rsidRDefault="002D72FF" w:rsidP="002D72FF">
      <w:pPr>
        <w:rPr>
          <w:rFonts w:cstheme="minorHAnsi"/>
          <w:b/>
          <w:bCs/>
          <w:sz w:val="20"/>
          <w:szCs w:val="20"/>
        </w:rPr>
      </w:pPr>
      <w:r w:rsidRPr="00AE1693">
        <w:rPr>
          <w:rFonts w:cstheme="minorHAnsi"/>
          <w:b/>
          <w:bCs/>
          <w:sz w:val="20"/>
          <w:szCs w:val="20"/>
        </w:rPr>
        <w:t>Key respondents:</w:t>
      </w:r>
    </w:p>
    <w:p w14:paraId="5ADFE4FB" w14:textId="77777777" w:rsidR="002D72FF" w:rsidRPr="00AE1693" w:rsidRDefault="002D72FF" w:rsidP="002D72FF">
      <w:pPr>
        <w:pStyle w:val="ListBullet"/>
        <w:numPr>
          <w:ilvl w:val="0"/>
          <w:numId w:val="14"/>
        </w:numPr>
        <w:rPr>
          <w:rFonts w:cstheme="minorHAnsi"/>
          <w:sz w:val="20"/>
          <w:szCs w:val="20"/>
        </w:rPr>
      </w:pPr>
      <w:r w:rsidRPr="00AE1693">
        <w:rPr>
          <w:rFonts w:cstheme="minorHAnsi"/>
          <w:sz w:val="20"/>
          <w:szCs w:val="20"/>
        </w:rPr>
        <w:t>MA leadership and governance</w:t>
      </w:r>
    </w:p>
    <w:p w14:paraId="5A604720" w14:textId="77777777" w:rsidR="002D72FF" w:rsidRPr="00AE1693" w:rsidRDefault="002D72FF" w:rsidP="002D72FF">
      <w:pPr>
        <w:pStyle w:val="ListBullet"/>
        <w:numPr>
          <w:ilvl w:val="0"/>
          <w:numId w:val="14"/>
        </w:numPr>
        <w:rPr>
          <w:rFonts w:cstheme="minorHAnsi"/>
          <w:sz w:val="20"/>
          <w:szCs w:val="20"/>
        </w:rPr>
      </w:pPr>
      <w:r w:rsidRPr="00AE1693">
        <w:rPr>
          <w:rFonts w:cstheme="minorHAnsi"/>
          <w:sz w:val="20"/>
          <w:szCs w:val="20"/>
        </w:rPr>
        <w:t>Secretariat staff</w:t>
      </w:r>
    </w:p>
    <w:p w14:paraId="3A957D94" w14:textId="77777777" w:rsidR="002D72FF" w:rsidRPr="00AE1693" w:rsidRDefault="002D72FF" w:rsidP="002D72FF">
      <w:pPr>
        <w:pStyle w:val="ListBullet"/>
        <w:numPr>
          <w:ilvl w:val="0"/>
          <w:numId w:val="14"/>
        </w:numPr>
        <w:rPr>
          <w:rFonts w:cstheme="minorHAnsi"/>
          <w:sz w:val="20"/>
          <w:szCs w:val="20"/>
        </w:rPr>
      </w:pPr>
      <w:r w:rsidRPr="00AE1693">
        <w:rPr>
          <w:rFonts w:cstheme="minorHAnsi"/>
          <w:sz w:val="20"/>
          <w:szCs w:val="20"/>
        </w:rPr>
        <w:t xml:space="preserve">Service providers </w:t>
      </w:r>
    </w:p>
    <w:p w14:paraId="13FF6046" w14:textId="77777777" w:rsidR="002D72FF" w:rsidRPr="00AE1693" w:rsidRDefault="002D72FF" w:rsidP="002D72FF">
      <w:pPr>
        <w:pStyle w:val="ListBullet"/>
        <w:numPr>
          <w:ilvl w:val="0"/>
          <w:numId w:val="14"/>
        </w:numPr>
        <w:rPr>
          <w:rFonts w:cstheme="minorHAnsi"/>
          <w:sz w:val="20"/>
          <w:szCs w:val="20"/>
        </w:rPr>
      </w:pPr>
      <w:r w:rsidRPr="00AE1693">
        <w:rPr>
          <w:rFonts w:cstheme="minorHAnsi"/>
          <w:sz w:val="20"/>
          <w:szCs w:val="20"/>
        </w:rPr>
        <w:t xml:space="preserve">Clients, community and other national stakeholders (as possible given lack of time for ethics approval in 2024 round of data collection) </w:t>
      </w:r>
    </w:p>
    <w:p w14:paraId="471D182C" w14:textId="77777777" w:rsidR="002D72FF" w:rsidRPr="00AE1693" w:rsidRDefault="002D72FF" w:rsidP="002D72FF">
      <w:pPr>
        <w:pStyle w:val="ListBullet"/>
        <w:numPr>
          <w:ilvl w:val="0"/>
          <w:numId w:val="0"/>
        </w:numPr>
        <w:spacing w:after="0"/>
        <w:ind w:left="360" w:hanging="360"/>
        <w:rPr>
          <w:rFonts w:cstheme="minorHAnsi"/>
          <w:b/>
          <w:bCs/>
          <w:sz w:val="20"/>
          <w:szCs w:val="20"/>
        </w:rPr>
      </w:pPr>
    </w:p>
    <w:p w14:paraId="42353969" w14:textId="77777777" w:rsidR="002D72FF" w:rsidRPr="00AE1693" w:rsidRDefault="002D72FF" w:rsidP="002D72FF">
      <w:pPr>
        <w:pStyle w:val="ListBullet"/>
        <w:numPr>
          <w:ilvl w:val="0"/>
          <w:numId w:val="0"/>
        </w:numPr>
        <w:spacing w:after="0"/>
        <w:ind w:left="360" w:hanging="360"/>
        <w:rPr>
          <w:rFonts w:cstheme="minorHAnsi"/>
          <w:b/>
          <w:bCs/>
          <w:sz w:val="20"/>
          <w:szCs w:val="20"/>
        </w:rPr>
      </w:pPr>
      <w:r w:rsidRPr="00AE1693">
        <w:rPr>
          <w:rFonts w:cstheme="minorHAnsi"/>
          <w:b/>
          <w:bCs/>
          <w:sz w:val="20"/>
          <w:szCs w:val="20"/>
        </w:rPr>
        <w:t>Country selection</w:t>
      </w:r>
    </w:p>
    <w:p w14:paraId="0EE83A6D" w14:textId="77777777" w:rsidR="002D72FF" w:rsidRPr="00AE1693" w:rsidRDefault="002D72FF" w:rsidP="002D72FF">
      <w:pPr>
        <w:rPr>
          <w:rFonts w:cstheme="minorHAnsi"/>
          <w:sz w:val="20"/>
          <w:szCs w:val="20"/>
        </w:rPr>
      </w:pPr>
      <w:r w:rsidRPr="00AE1693">
        <w:rPr>
          <w:rFonts w:cstheme="minorHAnsi"/>
          <w:sz w:val="20"/>
          <w:szCs w:val="20"/>
        </w:rPr>
        <w:t>The aim is to ensure a varied range of levels of capacity on Gender/SGBV issues, and a variety of national contexts. Selection of MAs is based on the following criteria:</w:t>
      </w:r>
    </w:p>
    <w:p w14:paraId="7E1633CC" w14:textId="77777777" w:rsidR="002D72FF" w:rsidRPr="00AE1693" w:rsidRDefault="002D72FF" w:rsidP="002D72FF">
      <w:pPr>
        <w:pStyle w:val="ListBullet"/>
        <w:numPr>
          <w:ilvl w:val="0"/>
          <w:numId w:val="15"/>
        </w:numPr>
        <w:rPr>
          <w:rFonts w:cstheme="minorHAnsi"/>
          <w:sz w:val="20"/>
          <w:szCs w:val="20"/>
        </w:rPr>
      </w:pPr>
      <w:r w:rsidRPr="00AE1693">
        <w:rPr>
          <w:rFonts w:cstheme="minorHAnsi"/>
          <w:sz w:val="20"/>
          <w:szCs w:val="20"/>
        </w:rPr>
        <w:t>Demographic indicators such as global gender gap ranking, percentage of girls married by 18, IPV prevalence, WB income classification</w:t>
      </w:r>
    </w:p>
    <w:p w14:paraId="34CE0EE6" w14:textId="77777777" w:rsidR="002D72FF" w:rsidRPr="00AE1693" w:rsidRDefault="002D72FF" w:rsidP="002D72FF">
      <w:pPr>
        <w:pStyle w:val="ListBullet"/>
        <w:numPr>
          <w:ilvl w:val="0"/>
          <w:numId w:val="15"/>
        </w:numPr>
        <w:rPr>
          <w:rFonts w:cstheme="minorHAnsi"/>
          <w:sz w:val="20"/>
          <w:szCs w:val="20"/>
        </w:rPr>
      </w:pPr>
      <w:r w:rsidRPr="00AE1693">
        <w:rPr>
          <w:rFonts w:cstheme="minorHAnsi"/>
          <w:sz w:val="20"/>
          <w:szCs w:val="20"/>
        </w:rPr>
        <w:t>IPPF SGBV-related service delivery</w:t>
      </w:r>
    </w:p>
    <w:p w14:paraId="601E55B6" w14:textId="77777777" w:rsidR="002D72FF" w:rsidRPr="00AE1693" w:rsidRDefault="002D72FF" w:rsidP="002D72FF">
      <w:pPr>
        <w:pStyle w:val="ListBullet"/>
        <w:numPr>
          <w:ilvl w:val="0"/>
          <w:numId w:val="15"/>
        </w:numPr>
        <w:rPr>
          <w:rFonts w:cstheme="minorHAnsi"/>
          <w:sz w:val="20"/>
          <w:szCs w:val="20"/>
        </w:rPr>
      </w:pPr>
      <w:r w:rsidRPr="00AE1693">
        <w:rPr>
          <w:rFonts w:cstheme="minorHAnsi"/>
          <w:sz w:val="20"/>
          <w:szCs w:val="20"/>
        </w:rPr>
        <w:t>Known SGBV work by MAs</w:t>
      </w:r>
    </w:p>
    <w:tbl>
      <w:tblPr>
        <w:tblStyle w:val="TableGrid"/>
        <w:tblW w:w="9493" w:type="dxa"/>
        <w:tblLook w:val="04A0" w:firstRow="1" w:lastRow="0" w:firstColumn="1" w:lastColumn="0" w:noHBand="0" w:noVBand="1"/>
      </w:tblPr>
      <w:tblGrid>
        <w:gridCol w:w="1555"/>
        <w:gridCol w:w="1275"/>
        <w:gridCol w:w="1985"/>
        <w:gridCol w:w="4678"/>
      </w:tblGrid>
      <w:tr w:rsidR="002D72FF" w:rsidRPr="00AE1693" w14:paraId="5AD02B96" w14:textId="77777777" w:rsidTr="00434F91">
        <w:tc>
          <w:tcPr>
            <w:tcW w:w="1555" w:type="dxa"/>
          </w:tcPr>
          <w:p w14:paraId="06CAFDE3" w14:textId="77777777" w:rsidR="002D72FF" w:rsidRPr="00AE1693" w:rsidRDefault="002D72FF" w:rsidP="00434F91">
            <w:pPr>
              <w:rPr>
                <w:rFonts w:cstheme="minorHAnsi"/>
                <w:b/>
                <w:bCs/>
                <w:sz w:val="20"/>
                <w:szCs w:val="20"/>
              </w:rPr>
            </w:pPr>
            <w:r w:rsidRPr="00AE1693">
              <w:rPr>
                <w:rFonts w:cstheme="minorHAnsi"/>
                <w:b/>
                <w:bCs/>
                <w:sz w:val="20"/>
                <w:szCs w:val="20"/>
              </w:rPr>
              <w:t>Country</w:t>
            </w:r>
          </w:p>
        </w:tc>
        <w:tc>
          <w:tcPr>
            <w:tcW w:w="1275" w:type="dxa"/>
          </w:tcPr>
          <w:p w14:paraId="347AADFB" w14:textId="77777777" w:rsidR="002D72FF" w:rsidRPr="00AE1693" w:rsidRDefault="002D72FF" w:rsidP="00434F91">
            <w:pPr>
              <w:rPr>
                <w:rFonts w:cstheme="minorHAnsi"/>
                <w:b/>
                <w:bCs/>
                <w:sz w:val="20"/>
                <w:szCs w:val="20"/>
              </w:rPr>
            </w:pPr>
            <w:r w:rsidRPr="00AE1693">
              <w:rPr>
                <w:rFonts w:cstheme="minorHAnsi"/>
                <w:b/>
                <w:bCs/>
                <w:sz w:val="20"/>
                <w:szCs w:val="20"/>
              </w:rPr>
              <w:t>Region</w:t>
            </w:r>
          </w:p>
        </w:tc>
        <w:tc>
          <w:tcPr>
            <w:tcW w:w="1985" w:type="dxa"/>
          </w:tcPr>
          <w:p w14:paraId="617138B8" w14:textId="77777777" w:rsidR="002D72FF" w:rsidRPr="00AE1693" w:rsidRDefault="002D72FF" w:rsidP="00434F91">
            <w:pPr>
              <w:rPr>
                <w:rFonts w:cstheme="minorHAnsi"/>
                <w:b/>
                <w:bCs/>
                <w:sz w:val="20"/>
                <w:szCs w:val="20"/>
              </w:rPr>
            </w:pPr>
            <w:r w:rsidRPr="00AE1693">
              <w:rPr>
                <w:rFonts w:cstheme="minorHAnsi"/>
                <w:b/>
                <w:bCs/>
                <w:sz w:val="20"/>
                <w:szCs w:val="20"/>
              </w:rPr>
              <w:t>SGBV services 2022</w:t>
            </w:r>
          </w:p>
        </w:tc>
        <w:tc>
          <w:tcPr>
            <w:tcW w:w="4678" w:type="dxa"/>
          </w:tcPr>
          <w:p w14:paraId="4F99D012" w14:textId="77777777" w:rsidR="002D72FF" w:rsidRPr="00AE1693" w:rsidRDefault="002D72FF" w:rsidP="00434F91">
            <w:pPr>
              <w:rPr>
                <w:rFonts w:cstheme="minorHAnsi"/>
                <w:b/>
                <w:bCs/>
                <w:sz w:val="20"/>
                <w:szCs w:val="20"/>
              </w:rPr>
            </w:pPr>
            <w:r w:rsidRPr="00AE1693">
              <w:rPr>
                <w:rFonts w:cstheme="minorHAnsi"/>
                <w:b/>
                <w:bCs/>
                <w:sz w:val="20"/>
                <w:szCs w:val="20"/>
              </w:rPr>
              <w:t>Other factors</w:t>
            </w:r>
          </w:p>
        </w:tc>
      </w:tr>
      <w:tr w:rsidR="002D72FF" w:rsidRPr="00AE1693" w14:paraId="18E284D1" w14:textId="77777777" w:rsidTr="00434F91">
        <w:tc>
          <w:tcPr>
            <w:tcW w:w="1555" w:type="dxa"/>
            <w:vAlign w:val="center"/>
          </w:tcPr>
          <w:p w14:paraId="7F250CA7" w14:textId="77777777" w:rsidR="002D72FF" w:rsidRPr="00AE1693" w:rsidRDefault="002D72FF" w:rsidP="00434F91">
            <w:pPr>
              <w:rPr>
                <w:rFonts w:cstheme="minorHAnsi"/>
                <w:color w:val="000000" w:themeColor="text1"/>
                <w:sz w:val="20"/>
                <w:szCs w:val="20"/>
              </w:rPr>
            </w:pPr>
            <w:r w:rsidRPr="00AE1693">
              <w:rPr>
                <w:rFonts w:cstheme="minorHAnsi"/>
                <w:color w:val="000000" w:themeColor="text1"/>
                <w:sz w:val="20"/>
                <w:szCs w:val="20"/>
              </w:rPr>
              <w:t>DRC</w:t>
            </w:r>
          </w:p>
        </w:tc>
        <w:tc>
          <w:tcPr>
            <w:tcW w:w="1275" w:type="dxa"/>
            <w:vAlign w:val="center"/>
          </w:tcPr>
          <w:p w14:paraId="4B6369D7" w14:textId="77777777" w:rsidR="002D72FF" w:rsidRPr="00AE1693" w:rsidRDefault="002D72FF" w:rsidP="00434F91">
            <w:pPr>
              <w:rPr>
                <w:rFonts w:cstheme="minorHAnsi"/>
                <w:color w:val="000000"/>
                <w:sz w:val="20"/>
                <w:szCs w:val="20"/>
              </w:rPr>
            </w:pPr>
            <w:r w:rsidRPr="00AE1693">
              <w:rPr>
                <w:rFonts w:cstheme="minorHAnsi"/>
                <w:color w:val="000000"/>
                <w:sz w:val="20"/>
                <w:szCs w:val="20"/>
              </w:rPr>
              <w:t>ARO</w:t>
            </w:r>
          </w:p>
        </w:tc>
        <w:tc>
          <w:tcPr>
            <w:tcW w:w="1985" w:type="dxa"/>
            <w:vAlign w:val="center"/>
          </w:tcPr>
          <w:p w14:paraId="3FE02AA8" w14:textId="77777777" w:rsidR="002D72FF" w:rsidRPr="00AE1693" w:rsidRDefault="002D72FF" w:rsidP="00434F91">
            <w:pPr>
              <w:rPr>
                <w:rFonts w:cstheme="minorHAnsi"/>
                <w:sz w:val="20"/>
                <w:szCs w:val="20"/>
              </w:rPr>
            </w:pPr>
            <w:r w:rsidRPr="00AE1693">
              <w:rPr>
                <w:rFonts w:cstheme="minorHAnsi"/>
                <w:color w:val="000000"/>
                <w:sz w:val="20"/>
                <w:szCs w:val="20"/>
              </w:rPr>
              <w:t>12,393</w:t>
            </w:r>
          </w:p>
        </w:tc>
        <w:tc>
          <w:tcPr>
            <w:tcW w:w="4678" w:type="dxa"/>
            <w:vAlign w:val="center"/>
          </w:tcPr>
          <w:p w14:paraId="15D148CC" w14:textId="77777777" w:rsidR="002D72FF" w:rsidRPr="00AE1693" w:rsidRDefault="002D72FF" w:rsidP="00434F91">
            <w:pPr>
              <w:rPr>
                <w:rFonts w:cstheme="minorHAnsi"/>
                <w:sz w:val="20"/>
                <w:szCs w:val="20"/>
              </w:rPr>
            </w:pPr>
            <w:r w:rsidRPr="00AE1693">
              <w:rPr>
                <w:rFonts w:cstheme="minorHAnsi"/>
                <w:sz w:val="20"/>
                <w:szCs w:val="20"/>
              </w:rPr>
              <w:t>Fragile setting</w:t>
            </w:r>
          </w:p>
        </w:tc>
      </w:tr>
      <w:tr w:rsidR="002D72FF" w:rsidRPr="00AE1693" w14:paraId="6D3E95DE" w14:textId="77777777" w:rsidTr="00434F91">
        <w:tc>
          <w:tcPr>
            <w:tcW w:w="1555" w:type="dxa"/>
            <w:vAlign w:val="center"/>
          </w:tcPr>
          <w:p w14:paraId="450DFD13" w14:textId="77777777" w:rsidR="002D72FF" w:rsidRPr="00AE1693" w:rsidRDefault="002D72FF" w:rsidP="00434F91">
            <w:pPr>
              <w:rPr>
                <w:rFonts w:cstheme="minorHAnsi"/>
                <w:sz w:val="20"/>
                <w:szCs w:val="20"/>
              </w:rPr>
            </w:pPr>
            <w:r w:rsidRPr="00AE1693">
              <w:rPr>
                <w:rFonts w:cstheme="minorHAnsi"/>
                <w:sz w:val="20"/>
                <w:szCs w:val="20"/>
              </w:rPr>
              <w:t>Mauritania</w:t>
            </w:r>
          </w:p>
        </w:tc>
        <w:tc>
          <w:tcPr>
            <w:tcW w:w="1275" w:type="dxa"/>
            <w:vAlign w:val="center"/>
          </w:tcPr>
          <w:p w14:paraId="44B28FC1" w14:textId="77777777" w:rsidR="002D72FF" w:rsidRPr="00AE1693" w:rsidRDefault="002D72FF" w:rsidP="00434F91">
            <w:pPr>
              <w:rPr>
                <w:rFonts w:cstheme="minorHAnsi"/>
                <w:sz w:val="20"/>
                <w:szCs w:val="20"/>
              </w:rPr>
            </w:pPr>
            <w:r w:rsidRPr="00AE1693">
              <w:rPr>
                <w:rFonts w:cstheme="minorHAnsi"/>
                <w:sz w:val="20"/>
                <w:szCs w:val="20"/>
              </w:rPr>
              <w:t>AWR</w:t>
            </w:r>
          </w:p>
        </w:tc>
        <w:tc>
          <w:tcPr>
            <w:tcW w:w="1985" w:type="dxa"/>
            <w:vAlign w:val="center"/>
          </w:tcPr>
          <w:p w14:paraId="1141AE64" w14:textId="77777777" w:rsidR="002D72FF" w:rsidRPr="00AE1693" w:rsidRDefault="002D72FF" w:rsidP="00434F91">
            <w:pPr>
              <w:rPr>
                <w:rFonts w:cstheme="minorHAnsi"/>
                <w:sz w:val="20"/>
                <w:szCs w:val="20"/>
              </w:rPr>
            </w:pPr>
            <w:r w:rsidRPr="00AE1693">
              <w:rPr>
                <w:rFonts w:cstheme="minorHAnsi"/>
                <w:sz w:val="20"/>
                <w:szCs w:val="20"/>
              </w:rPr>
              <w:t>7,338</w:t>
            </w:r>
          </w:p>
        </w:tc>
        <w:tc>
          <w:tcPr>
            <w:tcW w:w="4678" w:type="dxa"/>
            <w:vAlign w:val="center"/>
          </w:tcPr>
          <w:p w14:paraId="1FCBEC8D" w14:textId="77777777" w:rsidR="002D72FF" w:rsidRPr="00AE1693" w:rsidRDefault="002D72FF" w:rsidP="00434F91">
            <w:pPr>
              <w:rPr>
                <w:rFonts w:cstheme="minorHAnsi"/>
                <w:sz w:val="20"/>
                <w:szCs w:val="20"/>
              </w:rPr>
            </w:pPr>
            <w:r w:rsidRPr="00AE1693">
              <w:rPr>
                <w:rFonts w:cstheme="minorHAnsi"/>
                <w:sz w:val="20"/>
                <w:szCs w:val="20"/>
              </w:rPr>
              <w:t>FGM</w:t>
            </w:r>
          </w:p>
        </w:tc>
      </w:tr>
      <w:tr w:rsidR="002D72FF" w:rsidRPr="00AE1693" w14:paraId="46177735" w14:textId="77777777" w:rsidTr="00434F91">
        <w:tc>
          <w:tcPr>
            <w:tcW w:w="1555" w:type="dxa"/>
            <w:vAlign w:val="center"/>
          </w:tcPr>
          <w:p w14:paraId="15084BC7" w14:textId="77777777" w:rsidR="002D72FF" w:rsidRPr="00AE1693" w:rsidRDefault="002D72FF" w:rsidP="00434F91">
            <w:pPr>
              <w:rPr>
                <w:rFonts w:cstheme="minorHAnsi"/>
                <w:sz w:val="20"/>
                <w:szCs w:val="20"/>
              </w:rPr>
            </w:pPr>
            <w:r w:rsidRPr="00AE1693">
              <w:rPr>
                <w:rFonts w:cstheme="minorHAnsi"/>
                <w:sz w:val="20"/>
                <w:szCs w:val="20"/>
              </w:rPr>
              <w:t>Nepal</w:t>
            </w:r>
          </w:p>
        </w:tc>
        <w:tc>
          <w:tcPr>
            <w:tcW w:w="1275" w:type="dxa"/>
            <w:vAlign w:val="center"/>
          </w:tcPr>
          <w:p w14:paraId="7A4FDAF2" w14:textId="77777777" w:rsidR="002D72FF" w:rsidRPr="00AE1693" w:rsidRDefault="002D72FF" w:rsidP="00434F91">
            <w:pPr>
              <w:rPr>
                <w:rFonts w:cstheme="minorHAnsi"/>
                <w:sz w:val="20"/>
                <w:szCs w:val="20"/>
              </w:rPr>
            </w:pPr>
            <w:r w:rsidRPr="00AE1693">
              <w:rPr>
                <w:rFonts w:cstheme="minorHAnsi"/>
                <w:sz w:val="20"/>
                <w:szCs w:val="20"/>
              </w:rPr>
              <w:t>SARO</w:t>
            </w:r>
          </w:p>
        </w:tc>
        <w:tc>
          <w:tcPr>
            <w:tcW w:w="1985" w:type="dxa"/>
            <w:vAlign w:val="center"/>
          </w:tcPr>
          <w:p w14:paraId="648F64F5" w14:textId="77777777" w:rsidR="002D72FF" w:rsidRPr="00AE1693" w:rsidRDefault="002D72FF" w:rsidP="00434F91">
            <w:pPr>
              <w:rPr>
                <w:rFonts w:cstheme="minorHAnsi"/>
                <w:sz w:val="20"/>
                <w:szCs w:val="20"/>
              </w:rPr>
            </w:pPr>
            <w:r w:rsidRPr="00AE1693">
              <w:rPr>
                <w:rFonts w:cstheme="minorHAnsi"/>
                <w:sz w:val="20"/>
                <w:szCs w:val="20"/>
              </w:rPr>
              <w:t>17,019</w:t>
            </w:r>
          </w:p>
        </w:tc>
        <w:tc>
          <w:tcPr>
            <w:tcW w:w="4678" w:type="dxa"/>
            <w:vAlign w:val="center"/>
          </w:tcPr>
          <w:p w14:paraId="6C20EC55" w14:textId="77777777" w:rsidR="002D72FF" w:rsidRPr="00AE1693" w:rsidRDefault="002D72FF" w:rsidP="00434F91">
            <w:pPr>
              <w:rPr>
                <w:rFonts w:cstheme="minorHAnsi"/>
                <w:sz w:val="20"/>
                <w:szCs w:val="20"/>
              </w:rPr>
            </w:pPr>
            <w:r w:rsidRPr="00AE1693">
              <w:rPr>
                <w:rFonts w:cstheme="minorHAnsi"/>
                <w:sz w:val="20"/>
                <w:szCs w:val="20"/>
              </w:rPr>
              <w:t>High global gender gap and adolescent marriage</w:t>
            </w:r>
          </w:p>
        </w:tc>
      </w:tr>
      <w:tr w:rsidR="002D72FF" w:rsidRPr="00AE1693" w14:paraId="1A8D9F87" w14:textId="77777777" w:rsidTr="00434F91">
        <w:tc>
          <w:tcPr>
            <w:tcW w:w="1555" w:type="dxa"/>
            <w:shd w:val="clear" w:color="auto" w:fill="auto"/>
            <w:vAlign w:val="center"/>
          </w:tcPr>
          <w:p w14:paraId="0D450FB0" w14:textId="77777777" w:rsidR="002D72FF" w:rsidRPr="00AE1693" w:rsidRDefault="002D72FF" w:rsidP="00434F91">
            <w:pPr>
              <w:rPr>
                <w:rFonts w:cstheme="minorHAnsi"/>
                <w:sz w:val="20"/>
                <w:szCs w:val="20"/>
              </w:rPr>
            </w:pPr>
            <w:r w:rsidRPr="00AE1693">
              <w:rPr>
                <w:rFonts w:cstheme="minorHAnsi"/>
                <w:sz w:val="20"/>
                <w:szCs w:val="20"/>
              </w:rPr>
              <w:t>Mexico</w:t>
            </w:r>
          </w:p>
        </w:tc>
        <w:tc>
          <w:tcPr>
            <w:tcW w:w="1275" w:type="dxa"/>
            <w:shd w:val="clear" w:color="auto" w:fill="auto"/>
            <w:vAlign w:val="center"/>
          </w:tcPr>
          <w:p w14:paraId="2D7787D7" w14:textId="77777777" w:rsidR="002D72FF" w:rsidRPr="00AE1693" w:rsidRDefault="002D72FF" w:rsidP="00434F91">
            <w:pPr>
              <w:rPr>
                <w:rFonts w:cstheme="minorHAnsi"/>
                <w:sz w:val="20"/>
                <w:szCs w:val="20"/>
              </w:rPr>
            </w:pPr>
            <w:r w:rsidRPr="00AE1693">
              <w:rPr>
                <w:rFonts w:cstheme="minorHAnsi"/>
                <w:sz w:val="20"/>
                <w:szCs w:val="20"/>
              </w:rPr>
              <w:t>ACRO</w:t>
            </w:r>
          </w:p>
        </w:tc>
        <w:tc>
          <w:tcPr>
            <w:tcW w:w="1985" w:type="dxa"/>
            <w:shd w:val="clear" w:color="auto" w:fill="auto"/>
            <w:vAlign w:val="center"/>
          </w:tcPr>
          <w:p w14:paraId="5DA2FFB9" w14:textId="77777777" w:rsidR="002D72FF" w:rsidRPr="00AE1693" w:rsidRDefault="002D72FF" w:rsidP="00434F91">
            <w:pPr>
              <w:rPr>
                <w:rFonts w:cstheme="minorHAnsi"/>
                <w:sz w:val="20"/>
                <w:szCs w:val="20"/>
              </w:rPr>
            </w:pPr>
            <w:r w:rsidRPr="00AE1693">
              <w:rPr>
                <w:rFonts w:cstheme="minorHAnsi"/>
                <w:sz w:val="20"/>
                <w:szCs w:val="20"/>
              </w:rPr>
              <w:t>9,101</w:t>
            </w:r>
          </w:p>
        </w:tc>
        <w:tc>
          <w:tcPr>
            <w:tcW w:w="4678" w:type="dxa"/>
            <w:shd w:val="clear" w:color="auto" w:fill="auto"/>
            <w:vAlign w:val="center"/>
          </w:tcPr>
          <w:p w14:paraId="51393406" w14:textId="77777777" w:rsidR="002D72FF" w:rsidRPr="00AE1693" w:rsidRDefault="002D72FF" w:rsidP="00434F91">
            <w:pPr>
              <w:rPr>
                <w:rFonts w:cstheme="minorHAnsi"/>
                <w:sz w:val="20"/>
                <w:szCs w:val="20"/>
              </w:rPr>
            </w:pPr>
            <w:r w:rsidRPr="00AE1693">
              <w:rPr>
                <w:rFonts w:cstheme="minorHAnsi"/>
                <w:sz w:val="20"/>
                <w:szCs w:val="20"/>
              </w:rPr>
              <w:t>Low global gender gap and VAWG estimates</w:t>
            </w:r>
          </w:p>
        </w:tc>
      </w:tr>
    </w:tbl>
    <w:p w14:paraId="29518B89" w14:textId="77777777" w:rsidR="002D72FF" w:rsidRPr="00AE1693" w:rsidRDefault="002D72FF" w:rsidP="002D72FF">
      <w:pPr>
        <w:rPr>
          <w:rFonts w:cstheme="minorHAnsi"/>
          <w:sz w:val="20"/>
          <w:szCs w:val="20"/>
        </w:rPr>
      </w:pPr>
      <w:r w:rsidRPr="00AE1693">
        <w:rPr>
          <w:rFonts w:cstheme="minorHAnsi"/>
          <w:sz w:val="20"/>
          <w:szCs w:val="20"/>
        </w:rPr>
        <w:br w:type="page"/>
      </w:r>
    </w:p>
    <w:p w14:paraId="3862BFA4" w14:textId="434AC047" w:rsidR="002D72FF" w:rsidRPr="00AE1693" w:rsidRDefault="005A0000" w:rsidP="002D72FF">
      <w:pPr>
        <w:rPr>
          <w:rFonts w:cstheme="minorHAnsi"/>
          <w:b/>
          <w:bCs/>
          <w:sz w:val="20"/>
          <w:szCs w:val="20"/>
        </w:rPr>
      </w:pPr>
      <w:r w:rsidRPr="00AE1693">
        <w:rPr>
          <w:rFonts w:cstheme="minorHAnsi"/>
          <w:b/>
          <w:bCs/>
          <w:noProof/>
          <w:color w:val="2B579A"/>
          <w:sz w:val="20"/>
          <w:szCs w:val="20"/>
          <w:shd w:val="clear" w:color="auto" w:fill="E6E6E6"/>
        </w:rPr>
        <w:lastRenderedPageBreak/>
        <mc:AlternateContent>
          <mc:Choice Requires="wps">
            <w:drawing>
              <wp:anchor distT="45720" distB="45720" distL="114300" distR="114300" simplePos="0" relativeHeight="251658752" behindDoc="0" locked="0" layoutInCell="1" allowOverlap="1" wp14:anchorId="37B9B0A5" wp14:editId="3B0C99A7">
                <wp:simplePos x="0" y="0"/>
                <wp:positionH relativeFrom="margin">
                  <wp:align>left</wp:align>
                </wp:positionH>
                <wp:positionV relativeFrom="paragraph">
                  <wp:posOffset>406511</wp:posOffset>
                </wp:positionV>
                <wp:extent cx="5867400" cy="2432050"/>
                <wp:effectExtent l="0" t="0" r="19050" b="25400"/>
                <wp:wrapSquare wrapText="bothSides"/>
                <wp:docPr id="1237786091" name="Text Box 1237786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432050"/>
                        </a:xfrm>
                        <a:prstGeom prst="rect">
                          <a:avLst/>
                        </a:prstGeom>
                        <a:solidFill>
                          <a:srgbClr val="FFFFFF"/>
                        </a:solidFill>
                        <a:ln w="9525">
                          <a:solidFill>
                            <a:srgbClr val="000000"/>
                          </a:solidFill>
                          <a:miter lim="800000"/>
                          <a:headEnd/>
                          <a:tailEnd/>
                        </a:ln>
                      </wps:spPr>
                      <wps:txbx>
                        <w:txbxContent>
                          <w:p w14:paraId="2EEA2EF7" w14:textId="77777777" w:rsidR="002D72FF" w:rsidRPr="001A5E85" w:rsidRDefault="002D72FF" w:rsidP="002D72FF">
                            <w:pPr>
                              <w:rPr>
                                <w:b/>
                                <w:bCs/>
                                <w:sz w:val="18"/>
                                <w:szCs w:val="18"/>
                              </w:rPr>
                            </w:pPr>
                            <w:r w:rsidRPr="001A5E85">
                              <w:rPr>
                                <w:b/>
                                <w:bCs/>
                                <w:sz w:val="18"/>
                                <w:szCs w:val="18"/>
                              </w:rPr>
                              <w:t>Relevant Strategy commitments:</w:t>
                            </w:r>
                          </w:p>
                          <w:p w14:paraId="6918767F"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By 2028, we will have expanded our focus on younger people who face specific risks and discrimination, resulting in an increase in the proportion of our clients aged 10–19. In addition to prevention of unintended pregnancies, we will have scaled up youth-centred services including emergency contraception, abortion care, post-exposure prophylaxis and sexual and gender-based violence.</w:t>
                            </w:r>
                          </w:p>
                          <w:p w14:paraId="6A86CBE3"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By 2028, more governments and education providers will have integrated comprehensive sexuality education into education policies, curricula and programmes, so that more young people are empowered with the information they want on sex, sexuality, care and equal relationships.</w:t>
                            </w:r>
                          </w:p>
                          <w:p w14:paraId="5048B6EE"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 xml:space="preserve">By 2028, a measurable positive shift in attitudes will have taken place amongst healthcare workers on providing respectful care to young people and people excluded from their communities. </w:t>
                            </w:r>
                          </w:p>
                          <w:p w14:paraId="109E9EC8"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By 2028, an increased number of adolescents recognise pleasure and the conditions necessary for clear, free, informed and meaningful consent as the foundation to safe, positive and equal relationships.</w:t>
                            </w:r>
                          </w:p>
                          <w:p w14:paraId="303E1BB9" w14:textId="77777777" w:rsidR="002D72FF" w:rsidRPr="001A5E85" w:rsidRDefault="002D72FF" w:rsidP="002D72FF">
                            <w:pPr>
                              <w:spacing w:before="40"/>
                              <w:rPr>
                                <w:sz w:val="18"/>
                                <w:szCs w:val="18"/>
                              </w:rPr>
                            </w:pPr>
                            <w:r w:rsidRPr="001A5E85">
                              <w:rPr>
                                <w:i/>
                                <w:iCs/>
                                <w:sz w:val="18"/>
                                <w:szCs w:val="18"/>
                                <w:bdr w:val="none" w:sz="0" w:space="0" w:color="auto" w:frame="1"/>
                                <w:shd w:val="clear" w:color="auto" w:fill="FFFFFF"/>
                              </w:rPr>
                              <w:t>By 2028, young social media influencers across the world will be inspiring conversations and answering questions on topics regarding sex and gender that are taboo or little discussed in our societies.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9B0A5" id="Text Box 1237786091" o:spid="_x0000_s1027" type="#_x0000_t202" style="position:absolute;margin-left:0;margin-top:32pt;width:462pt;height:191.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">
                <v:textbox>
                  <w:txbxContent>
                    <w:p w14:paraId="2EEA2EF7" w14:textId="77777777" w:rsidR="002D72FF" w:rsidRPr="001A5E85" w:rsidRDefault="002D72FF" w:rsidP="002D72FF">
                      <w:pPr>
                        <w:rPr>
                          <w:b/>
                          <w:bCs/>
                          <w:sz w:val="18"/>
                          <w:szCs w:val="18"/>
                        </w:rPr>
                      </w:pPr>
                      <w:r w:rsidRPr="001A5E85">
                        <w:rPr>
                          <w:b/>
                          <w:bCs/>
                          <w:sz w:val="18"/>
                          <w:szCs w:val="18"/>
                        </w:rPr>
                        <w:t>Relevant Strategy commitments:</w:t>
                      </w:r>
                    </w:p>
                    <w:p w14:paraId="6918767F"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By 2028, we will have expanded our focus on younger people who face specific risks and discrimination, resulting in an increase in the proportion of our clients aged 10–19. In addition to prevention of unintended pregnancies, we will have scaled up youth-centred services including emergency contraception, abortion care, post-exposure prophylaxis and sexual and gender-based violence.</w:t>
                      </w:r>
                    </w:p>
                    <w:p w14:paraId="6A86CBE3"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By 2028, more governments and education providers will have integrated comprehensive sexuality education into education policies, curricula and programmes, so that more young people are empowered with the information they want on sex, sexuality, care and equal relationships.</w:t>
                      </w:r>
                    </w:p>
                    <w:p w14:paraId="5048B6EE"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 xml:space="preserve">By 2028, a measurable positive shift in attitudes will have taken place amongst healthcare workers on providing respectful care to young people and people excluded from their communities. </w:t>
                      </w:r>
                    </w:p>
                    <w:p w14:paraId="109E9EC8" w14:textId="77777777" w:rsidR="002D72FF" w:rsidRPr="001A5E85" w:rsidRDefault="002D72FF" w:rsidP="002D72FF">
                      <w:pPr>
                        <w:spacing w:before="40"/>
                        <w:rPr>
                          <w:i/>
                          <w:iCs/>
                          <w:sz w:val="18"/>
                          <w:szCs w:val="18"/>
                          <w:bdr w:val="none" w:sz="0" w:space="0" w:color="auto" w:frame="1"/>
                          <w:shd w:val="clear" w:color="auto" w:fill="FFFFFF"/>
                        </w:rPr>
                      </w:pPr>
                      <w:r w:rsidRPr="001A5E85">
                        <w:rPr>
                          <w:i/>
                          <w:iCs/>
                          <w:sz w:val="18"/>
                          <w:szCs w:val="18"/>
                          <w:bdr w:val="none" w:sz="0" w:space="0" w:color="auto" w:frame="1"/>
                          <w:shd w:val="clear" w:color="auto" w:fill="FFFFFF"/>
                        </w:rPr>
                        <w:t>By 2028, an increased number of adolescents recognise pleasure and the conditions necessary for clear, free, informed and meaningful consent as the foundation to safe, positive and equal relationships.</w:t>
                      </w:r>
                    </w:p>
                    <w:p w14:paraId="303E1BB9" w14:textId="77777777" w:rsidR="002D72FF" w:rsidRPr="001A5E85" w:rsidRDefault="002D72FF" w:rsidP="002D72FF">
                      <w:pPr>
                        <w:spacing w:before="40"/>
                        <w:rPr>
                          <w:sz w:val="18"/>
                          <w:szCs w:val="18"/>
                        </w:rPr>
                      </w:pPr>
                      <w:r w:rsidRPr="001A5E85">
                        <w:rPr>
                          <w:i/>
                          <w:iCs/>
                          <w:sz w:val="18"/>
                          <w:szCs w:val="18"/>
                          <w:bdr w:val="none" w:sz="0" w:space="0" w:color="auto" w:frame="1"/>
                          <w:shd w:val="clear" w:color="auto" w:fill="FFFFFF"/>
                        </w:rPr>
                        <w:t>By 2028, young social media influencers across the world will be inspiring conversations and answering questions on topics regarding sex and gender that are taboo or little discussed in our societies.</w:t>
                      </w:r>
                    </w:p>
                  </w:txbxContent>
                </v:textbox>
                <w10:wrap type="square" anchorx="margin"/>
              </v:shape>
            </w:pict>
          </mc:Fallback>
        </mc:AlternateContent>
      </w:r>
      <w:r w:rsidR="002D72FF" w:rsidRPr="00AE1693">
        <w:rPr>
          <w:rFonts w:cstheme="minorHAnsi"/>
          <w:b/>
          <w:bCs/>
          <w:sz w:val="20"/>
          <w:szCs w:val="20"/>
        </w:rPr>
        <w:t>Indicator 7:</w:t>
      </w:r>
      <w:r w:rsidR="002D72FF" w:rsidRPr="00AE1693">
        <w:rPr>
          <w:rFonts w:cstheme="minorHAnsi"/>
          <w:sz w:val="20"/>
          <w:szCs w:val="20"/>
        </w:rPr>
        <w:t xml:space="preserve"> </w:t>
      </w:r>
      <w:r w:rsidR="002D72FF" w:rsidRPr="00AE1693">
        <w:rPr>
          <w:rFonts w:cstheme="minorHAnsi"/>
          <w:b/>
          <w:bCs/>
          <w:sz w:val="20"/>
          <w:szCs w:val="20"/>
        </w:rPr>
        <w:t>Quality, reach and impact of CSE, youth-centred care, and progress in youth engagement in the Federation</w:t>
      </w:r>
    </w:p>
    <w:p w14:paraId="3F5ECB3F" w14:textId="258D92F0" w:rsidR="002D72FF" w:rsidRPr="00AE1693" w:rsidRDefault="002D72FF" w:rsidP="002D72FF">
      <w:pPr>
        <w:rPr>
          <w:rFonts w:cstheme="minorHAnsi"/>
          <w:b/>
          <w:bCs/>
          <w:sz w:val="20"/>
          <w:szCs w:val="20"/>
        </w:rPr>
      </w:pPr>
      <w:r w:rsidRPr="00AE1693">
        <w:rPr>
          <w:rFonts w:cstheme="minorHAnsi"/>
          <w:sz w:val="20"/>
          <w:szCs w:val="20"/>
        </w:rPr>
        <w:t>The focus for 2024 for Indicator 7 is on the reach and impact of CSE and youth centred care in IPPF. The component related to youth engagement will be included for future years.</w:t>
      </w:r>
      <w:r w:rsidRPr="00AE1693">
        <w:rPr>
          <w:rFonts w:cstheme="minorHAnsi"/>
          <w:b/>
          <w:bCs/>
          <w:sz w:val="20"/>
          <w:szCs w:val="20"/>
        </w:rPr>
        <w:t xml:space="preserve"> </w:t>
      </w:r>
      <w:r w:rsidRPr="00AE1693">
        <w:rPr>
          <w:rFonts w:cstheme="minorHAnsi"/>
          <w:b/>
          <w:bCs/>
          <w:sz w:val="20"/>
          <w:szCs w:val="20"/>
        </w:rPr>
        <w:br/>
      </w:r>
      <w:r w:rsidRPr="00AE1693">
        <w:rPr>
          <w:rFonts w:cstheme="minorHAnsi"/>
          <w:b/>
          <w:bCs/>
          <w:sz w:val="20"/>
          <w:szCs w:val="20"/>
        </w:rPr>
        <w:br/>
        <w:t>Key research question – CSE</w:t>
      </w:r>
    </w:p>
    <w:p w14:paraId="32A81378" w14:textId="77777777" w:rsidR="002D72FF" w:rsidRPr="00AE1693" w:rsidRDefault="002D72FF" w:rsidP="002D72FF">
      <w:pPr>
        <w:rPr>
          <w:rFonts w:cstheme="minorHAnsi"/>
          <w:b/>
          <w:bCs/>
          <w:sz w:val="20"/>
          <w:szCs w:val="20"/>
        </w:rPr>
      </w:pPr>
      <w:r w:rsidRPr="00AE1693">
        <w:rPr>
          <w:rFonts w:cstheme="minorHAnsi"/>
          <w:sz w:val="20"/>
          <w:szCs w:val="20"/>
        </w:rPr>
        <w:t>What is the contribution of the CSE provided to young people through MAs, on positive changes in their knowledge, attitudes and practices related to sex, sexuality and equal relationships? (With consideration to be given to humanitarian contexts, where relevant)</w:t>
      </w:r>
    </w:p>
    <w:p w14:paraId="646C96E5" w14:textId="77777777" w:rsidR="005A0000" w:rsidRDefault="005A0000" w:rsidP="002D72FF">
      <w:pPr>
        <w:rPr>
          <w:rFonts w:cstheme="minorHAnsi"/>
          <w:b/>
          <w:bCs/>
          <w:sz w:val="20"/>
          <w:szCs w:val="20"/>
        </w:rPr>
      </w:pPr>
    </w:p>
    <w:p w14:paraId="74FFA56D" w14:textId="6D6F5DC1" w:rsidR="002D72FF" w:rsidRPr="00AE1693" w:rsidRDefault="002D72FF" w:rsidP="002D72FF">
      <w:pPr>
        <w:rPr>
          <w:rFonts w:cstheme="minorHAnsi"/>
          <w:b/>
          <w:bCs/>
          <w:sz w:val="20"/>
          <w:szCs w:val="20"/>
        </w:rPr>
      </w:pPr>
      <w:r w:rsidRPr="00AE1693">
        <w:rPr>
          <w:rFonts w:cstheme="minorHAnsi"/>
          <w:b/>
          <w:bCs/>
          <w:sz w:val="20"/>
          <w:szCs w:val="20"/>
        </w:rPr>
        <w:t>Key research question – youth centred care</w:t>
      </w:r>
    </w:p>
    <w:p w14:paraId="0E7A47B4" w14:textId="77777777" w:rsidR="002D72FF" w:rsidRDefault="002D72FF" w:rsidP="002D72FF">
      <w:pPr>
        <w:rPr>
          <w:rFonts w:cstheme="minorHAnsi"/>
          <w:sz w:val="20"/>
          <w:szCs w:val="20"/>
        </w:rPr>
      </w:pPr>
      <w:r w:rsidRPr="00AE1693">
        <w:rPr>
          <w:rFonts w:cstheme="minorHAnsi"/>
          <w:sz w:val="20"/>
          <w:szCs w:val="20"/>
        </w:rPr>
        <w:t xml:space="preserve">Over the life of the strategy, have young people accessed more / a wider variety of SRHR services and care? If so, has a change in service providers attitudes been a contributing factor? What other factors have contributed positively or negatively to youth centred care? </w:t>
      </w:r>
    </w:p>
    <w:p w14:paraId="69D1A6BB" w14:textId="77777777" w:rsidR="005A0000" w:rsidRPr="00AE1693" w:rsidRDefault="005A0000" w:rsidP="002D72FF">
      <w:pPr>
        <w:rPr>
          <w:rFonts w:cstheme="minorHAnsi"/>
          <w:sz w:val="20"/>
          <w:szCs w:val="20"/>
        </w:rPr>
      </w:pPr>
    </w:p>
    <w:tbl>
      <w:tblPr>
        <w:tblStyle w:val="TableGrid"/>
        <w:tblW w:w="0" w:type="auto"/>
        <w:tblLook w:val="04A0" w:firstRow="1" w:lastRow="0" w:firstColumn="1" w:lastColumn="0" w:noHBand="0" w:noVBand="1"/>
      </w:tblPr>
      <w:tblGrid>
        <w:gridCol w:w="1435"/>
        <w:gridCol w:w="7200"/>
      </w:tblGrid>
      <w:tr w:rsidR="002D72FF" w:rsidRPr="00AE1693" w14:paraId="795E5363" w14:textId="77777777" w:rsidTr="00434F91">
        <w:tc>
          <w:tcPr>
            <w:tcW w:w="9016" w:type="dxa"/>
            <w:gridSpan w:val="2"/>
            <w:shd w:val="clear" w:color="auto" w:fill="D9D9D9" w:themeFill="background1" w:themeFillShade="D9"/>
          </w:tcPr>
          <w:p w14:paraId="041D76AC" w14:textId="77777777" w:rsidR="002D72FF" w:rsidRPr="00AE1693" w:rsidRDefault="002D72FF" w:rsidP="00434F91">
            <w:pPr>
              <w:rPr>
                <w:rFonts w:cstheme="minorHAnsi"/>
                <w:sz w:val="20"/>
                <w:szCs w:val="20"/>
              </w:rPr>
            </w:pPr>
            <w:r w:rsidRPr="00AE1693">
              <w:rPr>
                <w:rFonts w:cstheme="minorHAnsi"/>
                <w:b/>
                <w:bCs/>
                <w:sz w:val="20"/>
                <w:szCs w:val="20"/>
              </w:rPr>
              <w:t>Sub-research questions – CSE</w:t>
            </w:r>
          </w:p>
        </w:tc>
      </w:tr>
      <w:tr w:rsidR="002D72FF" w:rsidRPr="00AE1693" w14:paraId="0F7130EB" w14:textId="77777777" w:rsidTr="00434F91">
        <w:tc>
          <w:tcPr>
            <w:tcW w:w="1462" w:type="dxa"/>
          </w:tcPr>
          <w:p w14:paraId="32B1F1EE" w14:textId="77777777" w:rsidR="002D72FF" w:rsidRPr="00AE1693" w:rsidRDefault="002D72FF" w:rsidP="00434F91">
            <w:pPr>
              <w:rPr>
                <w:rFonts w:cstheme="minorHAnsi"/>
                <w:b/>
                <w:bCs/>
                <w:sz w:val="20"/>
                <w:szCs w:val="20"/>
              </w:rPr>
            </w:pPr>
            <w:r w:rsidRPr="00AE1693">
              <w:rPr>
                <w:rFonts w:cstheme="minorHAnsi"/>
                <w:b/>
                <w:bCs/>
                <w:sz w:val="20"/>
                <w:szCs w:val="20"/>
              </w:rPr>
              <w:t>2024 data collection – priority RQs</w:t>
            </w:r>
          </w:p>
        </w:tc>
        <w:tc>
          <w:tcPr>
            <w:tcW w:w="7554" w:type="dxa"/>
          </w:tcPr>
          <w:p w14:paraId="6F9AFFC4"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 xml:space="preserve">How comprehensive is the CSE provided to young people, including marginalized and vulnerable young people, by MAs? E.g. does it reflect issues of consent, safety and pleasure, and topics that might be taboo? Is the CSE provided through a rights-based or a risk-based approach? How does the work of the MA fit within national CSE programmes, what are govts focusing on and what is our added value?  </w:t>
            </w:r>
          </w:p>
          <w:p w14:paraId="2852E6E9"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Has opposition to CSE affected whether and how CSE is provided? If so, in what ways? Have adaptations been made to CSE in response to opposition?</w:t>
            </w:r>
          </w:p>
        </w:tc>
      </w:tr>
      <w:tr w:rsidR="002D72FF" w:rsidRPr="00AE1693" w14:paraId="3B2B4BB7" w14:textId="77777777" w:rsidTr="00434F91">
        <w:tc>
          <w:tcPr>
            <w:tcW w:w="1462" w:type="dxa"/>
            <w:shd w:val="clear" w:color="auto" w:fill="F2F2F2" w:themeFill="background1" w:themeFillShade="F2"/>
          </w:tcPr>
          <w:p w14:paraId="046E6AA9" w14:textId="77777777" w:rsidR="002D72FF" w:rsidRPr="00AE1693" w:rsidRDefault="002D72FF" w:rsidP="00434F91">
            <w:pPr>
              <w:rPr>
                <w:rFonts w:cstheme="minorHAnsi"/>
                <w:b/>
                <w:bCs/>
                <w:sz w:val="20"/>
                <w:szCs w:val="20"/>
              </w:rPr>
            </w:pPr>
            <w:r w:rsidRPr="00AE1693">
              <w:rPr>
                <w:rFonts w:cstheme="minorHAnsi"/>
                <w:b/>
                <w:bCs/>
                <w:sz w:val="20"/>
                <w:szCs w:val="20"/>
              </w:rPr>
              <w:t>2026, 2028 additional RQs</w:t>
            </w:r>
          </w:p>
        </w:tc>
        <w:tc>
          <w:tcPr>
            <w:tcW w:w="7554" w:type="dxa"/>
            <w:shd w:val="clear" w:color="auto" w:fill="F2F2F2" w:themeFill="background1" w:themeFillShade="F2"/>
          </w:tcPr>
          <w:p w14:paraId="1AFE8D38"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Who are we reaching, i.e. age-groups, in/</w:t>
            </w:r>
            <w:proofErr w:type="spellStart"/>
            <w:r w:rsidRPr="00AE1693">
              <w:rPr>
                <w:rFonts w:cstheme="minorHAnsi"/>
                <w:sz w:val="20"/>
                <w:szCs w:val="20"/>
              </w:rPr>
              <w:t>out-of</w:t>
            </w:r>
            <w:proofErr w:type="spellEnd"/>
            <w:r w:rsidRPr="00AE1693">
              <w:rPr>
                <w:rFonts w:cstheme="minorHAnsi"/>
                <w:sz w:val="20"/>
                <w:szCs w:val="20"/>
              </w:rPr>
              <w:t xml:space="preserve"> school, gender/LGBTQI, YP with disabilities</w:t>
            </w:r>
          </w:p>
          <w:p w14:paraId="327C5D2F"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How is the CSE provided – through peer-to-peer approaches or intergenerationally?</w:t>
            </w:r>
          </w:p>
          <w:p w14:paraId="680FA49F"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 xml:space="preserve">To what extent and in what ways have young people’s approach and attitudes to sex, sexuality and equal relationships changed as a result of exposure to CSE? </w:t>
            </w:r>
          </w:p>
        </w:tc>
      </w:tr>
      <w:tr w:rsidR="002D72FF" w:rsidRPr="00AE1693" w14:paraId="55419807" w14:textId="77777777" w:rsidTr="00434F91">
        <w:tc>
          <w:tcPr>
            <w:tcW w:w="9016" w:type="dxa"/>
            <w:gridSpan w:val="2"/>
            <w:shd w:val="clear" w:color="auto" w:fill="D9D9D9" w:themeFill="background1" w:themeFillShade="D9"/>
          </w:tcPr>
          <w:p w14:paraId="07049129" w14:textId="77777777" w:rsidR="002D72FF" w:rsidRPr="00AE1693" w:rsidRDefault="002D72FF" w:rsidP="00434F91">
            <w:pPr>
              <w:pStyle w:val="ListBullet"/>
              <w:numPr>
                <w:ilvl w:val="0"/>
                <w:numId w:val="0"/>
              </w:numPr>
              <w:ind w:left="360" w:hanging="360"/>
              <w:rPr>
                <w:rFonts w:cstheme="minorHAnsi"/>
                <w:b/>
                <w:bCs/>
                <w:sz w:val="20"/>
                <w:szCs w:val="20"/>
              </w:rPr>
            </w:pPr>
            <w:r w:rsidRPr="00AE1693">
              <w:rPr>
                <w:rFonts w:cstheme="minorHAnsi"/>
                <w:b/>
                <w:bCs/>
                <w:sz w:val="20"/>
                <w:szCs w:val="20"/>
              </w:rPr>
              <w:t>Sub-research questions – youth centred care</w:t>
            </w:r>
          </w:p>
        </w:tc>
      </w:tr>
      <w:tr w:rsidR="002D72FF" w:rsidRPr="00AE1693" w14:paraId="4D4CE523" w14:textId="77777777" w:rsidTr="00434F91">
        <w:tc>
          <w:tcPr>
            <w:tcW w:w="1462" w:type="dxa"/>
          </w:tcPr>
          <w:p w14:paraId="50721EFB" w14:textId="77777777" w:rsidR="002D72FF" w:rsidRPr="00AE1693" w:rsidRDefault="002D72FF" w:rsidP="00434F91">
            <w:pPr>
              <w:rPr>
                <w:rFonts w:cstheme="minorHAnsi"/>
                <w:b/>
                <w:bCs/>
                <w:sz w:val="20"/>
                <w:szCs w:val="20"/>
              </w:rPr>
            </w:pPr>
            <w:r w:rsidRPr="00AE1693">
              <w:rPr>
                <w:rFonts w:cstheme="minorHAnsi"/>
                <w:b/>
                <w:bCs/>
                <w:sz w:val="20"/>
                <w:szCs w:val="20"/>
              </w:rPr>
              <w:lastRenderedPageBreak/>
              <w:t>2024 data collection – priority RQs</w:t>
            </w:r>
          </w:p>
        </w:tc>
        <w:tc>
          <w:tcPr>
            <w:tcW w:w="7554" w:type="dxa"/>
          </w:tcPr>
          <w:p w14:paraId="451B663D"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Are MA services centred around young people’s needs, as per IPPF’s Client-Centred Care Guidelines</w:t>
            </w:r>
            <w:r w:rsidRPr="00AE1693">
              <w:rPr>
                <w:rFonts w:cstheme="minorHAnsi"/>
                <w:sz w:val="20"/>
                <w:szCs w:val="20"/>
                <w:vertAlign w:val="superscript"/>
              </w:rPr>
              <w:footnoteReference w:id="1"/>
            </w:r>
            <w:r w:rsidRPr="00AE1693">
              <w:rPr>
                <w:rFonts w:cstheme="minorHAnsi"/>
                <w:sz w:val="20"/>
                <w:szCs w:val="20"/>
              </w:rPr>
              <w:t>?</w:t>
            </w:r>
          </w:p>
          <w:p w14:paraId="472E10F2" w14:textId="77777777" w:rsidR="002D72FF" w:rsidRPr="00AE1693" w:rsidRDefault="002D72FF" w:rsidP="002D72FF">
            <w:pPr>
              <w:pStyle w:val="ListParagraph"/>
              <w:numPr>
                <w:ilvl w:val="0"/>
                <w:numId w:val="19"/>
              </w:numPr>
              <w:spacing w:after="0" w:line="240" w:lineRule="auto"/>
              <w:contextualSpacing/>
              <w:rPr>
                <w:rFonts w:asciiTheme="minorHAnsi" w:hAnsiTheme="minorHAnsi" w:cstheme="minorHAnsi"/>
                <w:sz w:val="20"/>
                <w:szCs w:val="20"/>
              </w:rPr>
            </w:pPr>
            <w:r w:rsidRPr="00AE1693">
              <w:rPr>
                <w:rFonts w:asciiTheme="minorHAnsi" w:hAnsiTheme="minorHAnsi" w:cstheme="minorHAnsi"/>
                <w:sz w:val="20"/>
                <w:szCs w:val="20"/>
              </w:rPr>
              <w:t>Are providers trained in and confident providing confidential and respectful care to young people</w:t>
            </w:r>
          </w:p>
        </w:tc>
      </w:tr>
      <w:tr w:rsidR="002D72FF" w:rsidRPr="00AE1693" w14:paraId="662A50E7" w14:textId="77777777" w:rsidTr="00434F91">
        <w:tc>
          <w:tcPr>
            <w:tcW w:w="1462" w:type="dxa"/>
            <w:shd w:val="clear" w:color="auto" w:fill="F2F2F2" w:themeFill="background1" w:themeFillShade="F2"/>
          </w:tcPr>
          <w:p w14:paraId="19FF45A9" w14:textId="77777777" w:rsidR="002D72FF" w:rsidRPr="00AE1693" w:rsidRDefault="002D72FF" w:rsidP="00434F91">
            <w:pPr>
              <w:rPr>
                <w:rFonts w:cstheme="minorHAnsi"/>
                <w:b/>
                <w:bCs/>
                <w:sz w:val="20"/>
                <w:szCs w:val="20"/>
              </w:rPr>
            </w:pPr>
            <w:r w:rsidRPr="00AE1693">
              <w:rPr>
                <w:rFonts w:cstheme="minorHAnsi"/>
                <w:b/>
                <w:bCs/>
                <w:sz w:val="20"/>
                <w:szCs w:val="20"/>
              </w:rPr>
              <w:t>2026, 2028 additional RQs</w:t>
            </w:r>
          </w:p>
        </w:tc>
        <w:tc>
          <w:tcPr>
            <w:tcW w:w="7554" w:type="dxa"/>
            <w:shd w:val="clear" w:color="auto" w:fill="F2F2F2" w:themeFill="background1" w:themeFillShade="F2"/>
          </w:tcPr>
          <w:p w14:paraId="712024FB"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 xml:space="preserve">Have there been positive changes in service providers’ attitudes towards YCC? If so, in what ways and what are the key enablers of this change? If not, what are the key barriers to positive changes in attitudes? </w:t>
            </w:r>
          </w:p>
          <w:p w14:paraId="7937A10C"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Has the mix / volume of services provided to young people expanded? If so, in what ways and what are the key enablers of this change? If not, what are the key barriers to expanded mix / volume of services for young people?</w:t>
            </w:r>
          </w:p>
        </w:tc>
      </w:tr>
      <w:tr w:rsidR="002D72FF" w:rsidRPr="00AE1693" w14:paraId="2EBF0818" w14:textId="77777777" w:rsidTr="00434F91">
        <w:tc>
          <w:tcPr>
            <w:tcW w:w="9016" w:type="dxa"/>
            <w:gridSpan w:val="2"/>
            <w:shd w:val="clear" w:color="auto" w:fill="D9D9D9" w:themeFill="background1" w:themeFillShade="D9"/>
          </w:tcPr>
          <w:p w14:paraId="006E9E64" w14:textId="77777777" w:rsidR="002D72FF" w:rsidRPr="00AE1693" w:rsidRDefault="002D72FF" w:rsidP="00434F91">
            <w:pPr>
              <w:pStyle w:val="ListBullet"/>
              <w:numPr>
                <w:ilvl w:val="0"/>
                <w:numId w:val="0"/>
              </w:numPr>
              <w:ind w:left="360" w:hanging="360"/>
              <w:rPr>
                <w:rFonts w:cstheme="minorHAnsi"/>
                <w:sz w:val="20"/>
                <w:szCs w:val="20"/>
              </w:rPr>
            </w:pPr>
            <w:r w:rsidRPr="00AE1693">
              <w:rPr>
                <w:rFonts w:cstheme="minorHAnsi"/>
                <w:b/>
                <w:bCs/>
                <w:sz w:val="20"/>
                <w:szCs w:val="20"/>
              </w:rPr>
              <w:t>CSE and youth-centred care – cross cutting</w:t>
            </w:r>
          </w:p>
        </w:tc>
      </w:tr>
      <w:tr w:rsidR="002D72FF" w:rsidRPr="00AE1693" w14:paraId="7F1AF780" w14:textId="77777777" w:rsidTr="00434F91">
        <w:tc>
          <w:tcPr>
            <w:tcW w:w="1462" w:type="dxa"/>
          </w:tcPr>
          <w:p w14:paraId="71A6492C" w14:textId="77777777" w:rsidR="002D72FF" w:rsidRPr="00AE1693" w:rsidRDefault="002D72FF" w:rsidP="00434F91">
            <w:pPr>
              <w:rPr>
                <w:rFonts w:cstheme="minorHAnsi"/>
                <w:b/>
                <w:bCs/>
                <w:sz w:val="20"/>
                <w:szCs w:val="20"/>
              </w:rPr>
            </w:pPr>
            <w:r w:rsidRPr="00AE1693">
              <w:rPr>
                <w:rFonts w:cstheme="minorHAnsi"/>
                <w:b/>
                <w:bCs/>
                <w:sz w:val="20"/>
                <w:szCs w:val="20"/>
              </w:rPr>
              <w:t>2024 data collection – priority RQs</w:t>
            </w:r>
          </w:p>
        </w:tc>
        <w:tc>
          <w:tcPr>
            <w:tcW w:w="7554" w:type="dxa"/>
          </w:tcPr>
          <w:p w14:paraId="13521B21"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 xml:space="preserve">Is the CSE curriculum integrated with available SRH service provision? </w:t>
            </w:r>
          </w:p>
          <w:p w14:paraId="4FE77FB4" w14:textId="77777777" w:rsidR="002D72FF" w:rsidRPr="00AE1693" w:rsidRDefault="002D72FF" w:rsidP="00434F91">
            <w:pPr>
              <w:pStyle w:val="ListBullet"/>
              <w:numPr>
                <w:ilvl w:val="0"/>
                <w:numId w:val="0"/>
              </w:numPr>
              <w:ind w:left="360" w:hanging="360"/>
              <w:rPr>
                <w:rFonts w:cstheme="minorHAnsi"/>
                <w:sz w:val="20"/>
                <w:szCs w:val="20"/>
              </w:rPr>
            </w:pPr>
          </w:p>
        </w:tc>
      </w:tr>
      <w:tr w:rsidR="002D72FF" w:rsidRPr="00AE1693" w14:paraId="0A3DC908" w14:textId="77777777" w:rsidTr="00434F91">
        <w:tc>
          <w:tcPr>
            <w:tcW w:w="1462" w:type="dxa"/>
            <w:shd w:val="clear" w:color="auto" w:fill="F2F2F2" w:themeFill="background1" w:themeFillShade="F2"/>
          </w:tcPr>
          <w:p w14:paraId="4895E4E8" w14:textId="77777777" w:rsidR="002D72FF" w:rsidRPr="00AE1693" w:rsidRDefault="002D72FF" w:rsidP="00434F91">
            <w:pPr>
              <w:rPr>
                <w:rFonts w:cstheme="minorHAnsi"/>
                <w:b/>
                <w:bCs/>
                <w:sz w:val="20"/>
                <w:szCs w:val="20"/>
              </w:rPr>
            </w:pPr>
            <w:r w:rsidRPr="00AE1693">
              <w:rPr>
                <w:rFonts w:cstheme="minorHAnsi"/>
                <w:b/>
                <w:bCs/>
                <w:sz w:val="20"/>
                <w:szCs w:val="20"/>
              </w:rPr>
              <w:t>2025, 2027 additional RQs</w:t>
            </w:r>
          </w:p>
        </w:tc>
        <w:tc>
          <w:tcPr>
            <w:tcW w:w="7554" w:type="dxa"/>
            <w:shd w:val="clear" w:color="auto" w:fill="F2F2F2" w:themeFill="background1" w:themeFillShade="F2"/>
          </w:tcPr>
          <w:p w14:paraId="397B786A" w14:textId="77777777" w:rsidR="002D72FF" w:rsidRPr="00AE1693" w:rsidRDefault="002D72FF" w:rsidP="002D72FF">
            <w:pPr>
              <w:pStyle w:val="ListBullet"/>
              <w:numPr>
                <w:ilvl w:val="0"/>
                <w:numId w:val="19"/>
              </w:numPr>
              <w:spacing w:after="0" w:line="240" w:lineRule="auto"/>
              <w:rPr>
                <w:rFonts w:cstheme="minorHAnsi"/>
                <w:sz w:val="20"/>
                <w:szCs w:val="20"/>
              </w:rPr>
            </w:pPr>
            <w:r w:rsidRPr="00AE1693">
              <w:rPr>
                <w:rFonts w:cstheme="minorHAnsi"/>
                <w:sz w:val="20"/>
                <w:szCs w:val="20"/>
              </w:rPr>
              <w:t xml:space="preserve">Does CSE lead to uptake of SRH services by young people? </w:t>
            </w:r>
          </w:p>
          <w:p w14:paraId="50C75612" w14:textId="77777777" w:rsidR="002D72FF" w:rsidRPr="00AE1693" w:rsidRDefault="002D72FF" w:rsidP="002D72FF">
            <w:pPr>
              <w:pStyle w:val="ListBullet"/>
              <w:numPr>
                <w:ilvl w:val="0"/>
                <w:numId w:val="19"/>
              </w:numPr>
              <w:tabs>
                <w:tab w:val="num" w:pos="709"/>
              </w:tabs>
              <w:spacing w:after="0" w:line="240" w:lineRule="auto"/>
              <w:rPr>
                <w:rFonts w:cstheme="minorHAnsi"/>
                <w:sz w:val="20"/>
                <w:szCs w:val="20"/>
              </w:rPr>
            </w:pPr>
            <w:r w:rsidRPr="00AE1693">
              <w:rPr>
                <w:rFonts w:cstheme="minorHAnsi"/>
                <w:sz w:val="20"/>
                <w:szCs w:val="20"/>
              </w:rPr>
              <w:t xml:space="preserve">What are some of the best practices and challenges in providing CSE and YCC? </w:t>
            </w:r>
          </w:p>
        </w:tc>
      </w:tr>
    </w:tbl>
    <w:p w14:paraId="7F55FF3C" w14:textId="77777777" w:rsidR="002D72FF" w:rsidRPr="00AE1693" w:rsidRDefault="002D72FF" w:rsidP="002D72FF">
      <w:pPr>
        <w:rPr>
          <w:rFonts w:cstheme="minorHAnsi"/>
          <w:b/>
          <w:bCs/>
          <w:sz w:val="20"/>
          <w:szCs w:val="20"/>
        </w:rPr>
      </w:pPr>
    </w:p>
    <w:p w14:paraId="212D9E01" w14:textId="77777777" w:rsidR="002D72FF" w:rsidRPr="00AE1693" w:rsidRDefault="002D72FF" w:rsidP="002D72FF">
      <w:pPr>
        <w:rPr>
          <w:rFonts w:cstheme="minorHAnsi"/>
          <w:b/>
          <w:bCs/>
          <w:sz w:val="20"/>
          <w:szCs w:val="20"/>
        </w:rPr>
      </w:pPr>
      <w:r w:rsidRPr="00AE1693">
        <w:rPr>
          <w:rFonts w:cstheme="minorHAnsi"/>
          <w:b/>
          <w:bCs/>
          <w:sz w:val="20"/>
          <w:szCs w:val="20"/>
        </w:rPr>
        <w:t>Key respondents:</w:t>
      </w:r>
    </w:p>
    <w:p w14:paraId="6E1353EB" w14:textId="77777777" w:rsidR="002D72FF" w:rsidRPr="00AE1693" w:rsidRDefault="002D72FF" w:rsidP="002D72FF">
      <w:pPr>
        <w:pStyle w:val="ListParagraph"/>
        <w:numPr>
          <w:ilvl w:val="0"/>
          <w:numId w:val="18"/>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 xml:space="preserve">MA leadership and service providers </w:t>
      </w:r>
    </w:p>
    <w:p w14:paraId="76874A1D" w14:textId="77777777" w:rsidR="002D72FF" w:rsidRPr="00AE1693" w:rsidRDefault="002D72FF" w:rsidP="002D72FF">
      <w:pPr>
        <w:pStyle w:val="ListParagraph"/>
        <w:numPr>
          <w:ilvl w:val="0"/>
          <w:numId w:val="18"/>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Secretariat staff</w:t>
      </w:r>
    </w:p>
    <w:p w14:paraId="3F334288" w14:textId="77777777" w:rsidR="002D72FF" w:rsidRPr="00AE1693" w:rsidRDefault="002D72FF" w:rsidP="002D72FF">
      <w:pPr>
        <w:pStyle w:val="ListParagraph"/>
        <w:numPr>
          <w:ilvl w:val="0"/>
          <w:numId w:val="18"/>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 xml:space="preserve">Global CSE lead </w:t>
      </w:r>
    </w:p>
    <w:p w14:paraId="2C8C28F5" w14:textId="77777777" w:rsidR="002D72FF" w:rsidRPr="00AE1693" w:rsidRDefault="002D72FF" w:rsidP="002D72FF">
      <w:pPr>
        <w:pStyle w:val="ListParagraph"/>
        <w:numPr>
          <w:ilvl w:val="0"/>
          <w:numId w:val="18"/>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Youth networkers and young people participating in CSE (as possible given lack of time for ethics approval in 2024 round of data collection)</w:t>
      </w:r>
    </w:p>
    <w:p w14:paraId="180C18C5" w14:textId="77777777" w:rsidR="002D72FF" w:rsidRPr="00AE1693" w:rsidRDefault="002D72FF" w:rsidP="002D72FF">
      <w:pPr>
        <w:pStyle w:val="ListParagraph"/>
        <w:numPr>
          <w:ilvl w:val="0"/>
          <w:numId w:val="18"/>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CSE Centres of Excellence</w:t>
      </w:r>
    </w:p>
    <w:p w14:paraId="231F0846" w14:textId="77777777" w:rsidR="002D72FF" w:rsidRPr="00AE1693" w:rsidRDefault="002D72FF" w:rsidP="002D72FF">
      <w:pPr>
        <w:rPr>
          <w:rFonts w:cstheme="minorHAnsi"/>
          <w:b/>
          <w:bCs/>
          <w:sz w:val="20"/>
          <w:szCs w:val="20"/>
        </w:rPr>
      </w:pPr>
      <w:r w:rsidRPr="00AE1693">
        <w:rPr>
          <w:rFonts w:cstheme="minorHAnsi"/>
          <w:b/>
          <w:bCs/>
          <w:sz w:val="20"/>
          <w:szCs w:val="20"/>
        </w:rPr>
        <w:t>Additional information from IPPF data platform</w:t>
      </w:r>
    </w:p>
    <w:p w14:paraId="788D1C93" w14:textId="77777777" w:rsidR="002D72FF" w:rsidRPr="00AE1693" w:rsidRDefault="002D72FF" w:rsidP="002D72FF">
      <w:pPr>
        <w:pStyle w:val="ListParagraph"/>
        <w:numPr>
          <w:ilvl w:val="0"/>
          <w:numId w:val="17"/>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Breakdown of SRH services, by main category and age-group</w:t>
      </w:r>
    </w:p>
    <w:p w14:paraId="588E279D" w14:textId="77777777" w:rsidR="002D72FF" w:rsidRPr="00AE1693" w:rsidRDefault="002D72FF" w:rsidP="002D72FF">
      <w:pPr>
        <w:pStyle w:val="ListParagraph"/>
        <w:numPr>
          <w:ilvl w:val="0"/>
          <w:numId w:val="17"/>
        </w:numPr>
        <w:spacing w:after="160" w:line="259" w:lineRule="auto"/>
        <w:contextualSpacing/>
        <w:rPr>
          <w:rFonts w:asciiTheme="minorHAnsi" w:hAnsiTheme="minorHAnsi" w:cstheme="minorHAnsi"/>
          <w:sz w:val="20"/>
          <w:szCs w:val="20"/>
        </w:rPr>
      </w:pPr>
      <w:r w:rsidRPr="00AE1693">
        <w:rPr>
          <w:rFonts w:asciiTheme="minorHAnsi" w:hAnsiTheme="minorHAnsi" w:cstheme="minorHAnsi"/>
          <w:sz w:val="20"/>
          <w:szCs w:val="20"/>
        </w:rPr>
        <w:t xml:space="preserve">Advocacy efforts/wins with governments on CSE </w:t>
      </w:r>
    </w:p>
    <w:p w14:paraId="6092A7BF" w14:textId="77777777" w:rsidR="002D72FF" w:rsidRPr="00AE1693" w:rsidRDefault="002D72FF" w:rsidP="002D72FF">
      <w:pPr>
        <w:rPr>
          <w:rFonts w:cstheme="minorHAnsi"/>
          <w:b/>
          <w:bCs/>
          <w:sz w:val="20"/>
          <w:szCs w:val="20"/>
        </w:rPr>
      </w:pPr>
      <w:r w:rsidRPr="00AE1693">
        <w:rPr>
          <w:rFonts w:cstheme="minorHAnsi"/>
          <w:b/>
          <w:bCs/>
          <w:sz w:val="20"/>
          <w:szCs w:val="20"/>
        </w:rPr>
        <w:t>Country selection</w:t>
      </w:r>
    </w:p>
    <w:p w14:paraId="753A31EF" w14:textId="77777777" w:rsidR="002D72FF" w:rsidRPr="00AE1693" w:rsidRDefault="002D72FF" w:rsidP="002D72FF">
      <w:pPr>
        <w:rPr>
          <w:rFonts w:cstheme="minorHAnsi"/>
          <w:sz w:val="20"/>
          <w:szCs w:val="20"/>
        </w:rPr>
      </w:pPr>
      <w:r w:rsidRPr="00AE1693">
        <w:rPr>
          <w:rFonts w:cstheme="minorHAnsi"/>
          <w:sz w:val="20"/>
          <w:szCs w:val="20"/>
        </w:rPr>
        <w:t>Selection of MAs take the following factors into account:</w:t>
      </w:r>
    </w:p>
    <w:p w14:paraId="549A9F13" w14:textId="77777777" w:rsidR="002D72FF" w:rsidRPr="00AE1693" w:rsidRDefault="002D72FF" w:rsidP="002D72FF">
      <w:pPr>
        <w:pStyle w:val="ListBullet"/>
        <w:rPr>
          <w:rFonts w:cstheme="minorHAnsi"/>
          <w:sz w:val="20"/>
          <w:szCs w:val="20"/>
        </w:rPr>
      </w:pPr>
      <w:r w:rsidRPr="00AE1693">
        <w:rPr>
          <w:rFonts w:cstheme="minorHAnsi"/>
          <w:sz w:val="20"/>
          <w:szCs w:val="20"/>
        </w:rPr>
        <w:t>Performance on a range of demographic indicators such as lower secondary education completion rates, youth population, youth unemployment and adolescent pregnancy rate</w:t>
      </w:r>
    </w:p>
    <w:p w14:paraId="4AD5827B" w14:textId="77777777" w:rsidR="002D72FF" w:rsidRPr="00AE1693" w:rsidRDefault="002D72FF" w:rsidP="002D72FF">
      <w:pPr>
        <w:pStyle w:val="ListBullet"/>
        <w:rPr>
          <w:rFonts w:cstheme="minorHAnsi"/>
          <w:sz w:val="20"/>
          <w:szCs w:val="20"/>
        </w:rPr>
      </w:pPr>
      <w:r w:rsidRPr="00AE1693">
        <w:rPr>
          <w:rFonts w:cstheme="minorHAnsi"/>
          <w:sz w:val="20"/>
          <w:szCs w:val="20"/>
        </w:rPr>
        <w:t>CSE provision by MAs and presence of CSE Centres of Excellence</w:t>
      </w:r>
    </w:p>
    <w:tbl>
      <w:tblPr>
        <w:tblStyle w:val="TableGrid"/>
        <w:tblW w:w="9067" w:type="dxa"/>
        <w:tblLook w:val="04A0" w:firstRow="1" w:lastRow="0" w:firstColumn="1" w:lastColumn="0" w:noHBand="0" w:noVBand="1"/>
      </w:tblPr>
      <w:tblGrid>
        <w:gridCol w:w="1413"/>
        <w:gridCol w:w="1134"/>
        <w:gridCol w:w="6520"/>
      </w:tblGrid>
      <w:tr w:rsidR="002D72FF" w:rsidRPr="00AE1693" w14:paraId="688AC57D" w14:textId="77777777" w:rsidTr="00434F91">
        <w:tc>
          <w:tcPr>
            <w:tcW w:w="1413" w:type="dxa"/>
          </w:tcPr>
          <w:p w14:paraId="7BFB75B5" w14:textId="77777777" w:rsidR="002D72FF" w:rsidRPr="00AE1693" w:rsidRDefault="002D72FF" w:rsidP="00434F91">
            <w:pPr>
              <w:rPr>
                <w:rFonts w:cstheme="minorHAnsi"/>
                <w:b/>
                <w:bCs/>
                <w:sz w:val="20"/>
                <w:szCs w:val="20"/>
              </w:rPr>
            </w:pPr>
            <w:r w:rsidRPr="00AE1693">
              <w:rPr>
                <w:rFonts w:cstheme="minorHAnsi"/>
                <w:b/>
                <w:bCs/>
                <w:sz w:val="20"/>
                <w:szCs w:val="20"/>
              </w:rPr>
              <w:t>Country</w:t>
            </w:r>
          </w:p>
        </w:tc>
        <w:tc>
          <w:tcPr>
            <w:tcW w:w="1134" w:type="dxa"/>
          </w:tcPr>
          <w:p w14:paraId="78DF9677" w14:textId="77777777" w:rsidR="002D72FF" w:rsidRPr="00AE1693" w:rsidRDefault="002D72FF" w:rsidP="00434F91">
            <w:pPr>
              <w:rPr>
                <w:rFonts w:cstheme="minorHAnsi"/>
                <w:b/>
                <w:bCs/>
                <w:sz w:val="20"/>
                <w:szCs w:val="20"/>
              </w:rPr>
            </w:pPr>
            <w:r w:rsidRPr="00AE1693">
              <w:rPr>
                <w:rFonts w:cstheme="minorHAnsi"/>
                <w:b/>
                <w:bCs/>
                <w:sz w:val="20"/>
                <w:szCs w:val="20"/>
              </w:rPr>
              <w:t>Region</w:t>
            </w:r>
          </w:p>
        </w:tc>
        <w:tc>
          <w:tcPr>
            <w:tcW w:w="6520" w:type="dxa"/>
          </w:tcPr>
          <w:p w14:paraId="349C3ADB" w14:textId="77777777" w:rsidR="002D72FF" w:rsidRPr="00AE1693" w:rsidRDefault="002D72FF" w:rsidP="00434F91">
            <w:pPr>
              <w:rPr>
                <w:rFonts w:cstheme="minorHAnsi"/>
                <w:b/>
                <w:bCs/>
                <w:sz w:val="20"/>
                <w:szCs w:val="20"/>
              </w:rPr>
            </w:pPr>
            <w:r w:rsidRPr="00AE1693">
              <w:rPr>
                <w:rFonts w:cstheme="minorHAnsi"/>
                <w:b/>
                <w:bCs/>
                <w:sz w:val="20"/>
                <w:szCs w:val="20"/>
              </w:rPr>
              <w:t>Comments</w:t>
            </w:r>
          </w:p>
        </w:tc>
      </w:tr>
      <w:tr w:rsidR="002D72FF" w:rsidRPr="00AE1693" w14:paraId="0767D4D4" w14:textId="77777777" w:rsidTr="00434F91">
        <w:tc>
          <w:tcPr>
            <w:tcW w:w="1413" w:type="dxa"/>
            <w:vAlign w:val="center"/>
          </w:tcPr>
          <w:p w14:paraId="2EC735C3" w14:textId="77777777" w:rsidR="002D72FF" w:rsidRPr="00AE1693" w:rsidRDefault="002D72FF" w:rsidP="00434F91">
            <w:pPr>
              <w:rPr>
                <w:rFonts w:cstheme="minorHAnsi"/>
                <w:sz w:val="20"/>
                <w:szCs w:val="20"/>
              </w:rPr>
            </w:pPr>
            <w:r w:rsidRPr="00AE1693">
              <w:rPr>
                <w:rFonts w:cstheme="minorHAnsi"/>
                <w:sz w:val="20"/>
                <w:szCs w:val="20"/>
              </w:rPr>
              <w:t>Malawi</w:t>
            </w:r>
          </w:p>
        </w:tc>
        <w:tc>
          <w:tcPr>
            <w:tcW w:w="1134" w:type="dxa"/>
            <w:vAlign w:val="center"/>
          </w:tcPr>
          <w:p w14:paraId="2B663C27" w14:textId="77777777" w:rsidR="002D72FF" w:rsidRPr="00AE1693" w:rsidRDefault="002D72FF" w:rsidP="00434F91">
            <w:pPr>
              <w:rPr>
                <w:rFonts w:cstheme="minorHAnsi"/>
                <w:color w:val="000000"/>
                <w:sz w:val="20"/>
                <w:szCs w:val="20"/>
              </w:rPr>
            </w:pPr>
            <w:r w:rsidRPr="00AE1693">
              <w:rPr>
                <w:rFonts w:cstheme="minorHAnsi"/>
                <w:color w:val="000000"/>
                <w:sz w:val="20"/>
                <w:szCs w:val="20"/>
              </w:rPr>
              <w:t>ARO</w:t>
            </w:r>
          </w:p>
        </w:tc>
        <w:tc>
          <w:tcPr>
            <w:tcW w:w="6520" w:type="dxa"/>
            <w:vAlign w:val="center"/>
          </w:tcPr>
          <w:p w14:paraId="0C1E747F" w14:textId="77777777" w:rsidR="002D72FF" w:rsidRPr="00AE1693" w:rsidRDefault="002D72FF" w:rsidP="00434F91">
            <w:pPr>
              <w:rPr>
                <w:rFonts w:cstheme="minorHAnsi"/>
                <w:sz w:val="20"/>
                <w:szCs w:val="20"/>
              </w:rPr>
            </w:pPr>
            <w:r w:rsidRPr="00AE1693">
              <w:rPr>
                <w:rFonts w:cstheme="minorHAnsi"/>
                <w:sz w:val="20"/>
                <w:szCs w:val="20"/>
              </w:rPr>
              <w:t>High adolescent birth rate; low secondary completion</w:t>
            </w:r>
          </w:p>
        </w:tc>
      </w:tr>
      <w:tr w:rsidR="002D72FF" w:rsidRPr="00AE1693" w14:paraId="36C0E3BD" w14:textId="77777777" w:rsidTr="00434F91">
        <w:tc>
          <w:tcPr>
            <w:tcW w:w="1413" w:type="dxa"/>
            <w:vAlign w:val="center"/>
          </w:tcPr>
          <w:p w14:paraId="355C6E55" w14:textId="77777777" w:rsidR="002D72FF" w:rsidRPr="00AE1693" w:rsidRDefault="002D72FF" w:rsidP="00434F91">
            <w:pPr>
              <w:rPr>
                <w:rFonts w:cstheme="minorHAnsi"/>
                <w:sz w:val="20"/>
                <w:szCs w:val="20"/>
              </w:rPr>
            </w:pPr>
            <w:r w:rsidRPr="00AE1693">
              <w:rPr>
                <w:rFonts w:cstheme="minorHAnsi"/>
                <w:sz w:val="20"/>
                <w:szCs w:val="20"/>
              </w:rPr>
              <w:t>Albania</w:t>
            </w:r>
          </w:p>
        </w:tc>
        <w:tc>
          <w:tcPr>
            <w:tcW w:w="1134" w:type="dxa"/>
            <w:vAlign w:val="center"/>
          </w:tcPr>
          <w:p w14:paraId="360177E4" w14:textId="77777777" w:rsidR="002D72FF" w:rsidRPr="00AE1693" w:rsidRDefault="002D72FF" w:rsidP="00434F91">
            <w:pPr>
              <w:rPr>
                <w:rFonts w:cstheme="minorHAnsi"/>
                <w:sz w:val="20"/>
                <w:szCs w:val="20"/>
              </w:rPr>
            </w:pPr>
            <w:r w:rsidRPr="00AE1693">
              <w:rPr>
                <w:rFonts w:cstheme="minorHAnsi"/>
                <w:sz w:val="20"/>
                <w:szCs w:val="20"/>
              </w:rPr>
              <w:t>EN</w:t>
            </w:r>
          </w:p>
        </w:tc>
        <w:tc>
          <w:tcPr>
            <w:tcW w:w="6520" w:type="dxa"/>
            <w:vAlign w:val="center"/>
          </w:tcPr>
          <w:p w14:paraId="71612477" w14:textId="77777777" w:rsidR="002D72FF" w:rsidRPr="00AE1693" w:rsidRDefault="002D72FF" w:rsidP="00434F91">
            <w:pPr>
              <w:rPr>
                <w:rFonts w:cstheme="minorHAnsi"/>
                <w:sz w:val="20"/>
                <w:szCs w:val="20"/>
              </w:rPr>
            </w:pPr>
            <w:r w:rsidRPr="00AE1693">
              <w:rPr>
                <w:rFonts w:cstheme="minorHAnsi"/>
                <w:sz w:val="20"/>
                <w:szCs w:val="20"/>
              </w:rPr>
              <w:t xml:space="preserve">High youth population for region, provide SRH services for youth and CSE </w:t>
            </w:r>
          </w:p>
        </w:tc>
      </w:tr>
      <w:tr w:rsidR="002D72FF" w:rsidRPr="00AE1693" w14:paraId="4AAAEB7A" w14:textId="77777777" w:rsidTr="00434F91">
        <w:tc>
          <w:tcPr>
            <w:tcW w:w="1413" w:type="dxa"/>
            <w:vAlign w:val="center"/>
          </w:tcPr>
          <w:p w14:paraId="20EDA2E7" w14:textId="77777777" w:rsidR="002D72FF" w:rsidRPr="00AE1693" w:rsidRDefault="002D72FF" w:rsidP="00434F91">
            <w:pPr>
              <w:rPr>
                <w:rFonts w:cstheme="minorHAnsi"/>
                <w:sz w:val="20"/>
                <w:szCs w:val="20"/>
              </w:rPr>
            </w:pPr>
            <w:r w:rsidRPr="00AE1693">
              <w:rPr>
                <w:rFonts w:cstheme="minorHAnsi"/>
                <w:sz w:val="20"/>
                <w:szCs w:val="20"/>
              </w:rPr>
              <w:t>Tunisia</w:t>
            </w:r>
          </w:p>
        </w:tc>
        <w:tc>
          <w:tcPr>
            <w:tcW w:w="1134" w:type="dxa"/>
            <w:vAlign w:val="center"/>
          </w:tcPr>
          <w:p w14:paraId="578F3835" w14:textId="77777777" w:rsidR="002D72FF" w:rsidRPr="00AE1693" w:rsidRDefault="002D72FF" w:rsidP="00434F91">
            <w:pPr>
              <w:rPr>
                <w:rFonts w:cstheme="minorHAnsi"/>
                <w:sz w:val="20"/>
                <w:szCs w:val="20"/>
              </w:rPr>
            </w:pPr>
            <w:r w:rsidRPr="00AE1693">
              <w:rPr>
                <w:rFonts w:cstheme="minorHAnsi"/>
                <w:sz w:val="20"/>
                <w:szCs w:val="20"/>
              </w:rPr>
              <w:t>AWR</w:t>
            </w:r>
          </w:p>
        </w:tc>
        <w:tc>
          <w:tcPr>
            <w:tcW w:w="6520" w:type="dxa"/>
            <w:vAlign w:val="center"/>
          </w:tcPr>
          <w:p w14:paraId="2C6C1D40" w14:textId="77777777" w:rsidR="002D72FF" w:rsidRPr="00AE1693" w:rsidRDefault="002D72FF" w:rsidP="00434F91">
            <w:pPr>
              <w:rPr>
                <w:rFonts w:cstheme="minorHAnsi"/>
                <w:sz w:val="20"/>
                <w:szCs w:val="20"/>
              </w:rPr>
            </w:pPr>
            <w:r w:rsidRPr="00AE1693">
              <w:rPr>
                <w:rFonts w:cstheme="minorHAnsi"/>
                <w:sz w:val="20"/>
                <w:szCs w:val="20"/>
              </w:rPr>
              <w:t>High youth unemployment, high gender gap in secondary completion</w:t>
            </w:r>
          </w:p>
        </w:tc>
      </w:tr>
      <w:tr w:rsidR="002D72FF" w:rsidRPr="00AE1693" w14:paraId="4A65AF85" w14:textId="77777777" w:rsidTr="00434F91">
        <w:tc>
          <w:tcPr>
            <w:tcW w:w="1413" w:type="dxa"/>
            <w:shd w:val="clear" w:color="auto" w:fill="auto"/>
            <w:vAlign w:val="center"/>
          </w:tcPr>
          <w:p w14:paraId="1A188F40" w14:textId="77777777" w:rsidR="002D72FF" w:rsidRPr="00AE1693" w:rsidRDefault="002D72FF" w:rsidP="00434F91">
            <w:pPr>
              <w:rPr>
                <w:rFonts w:cstheme="minorHAnsi"/>
                <w:sz w:val="20"/>
                <w:szCs w:val="20"/>
              </w:rPr>
            </w:pPr>
            <w:r w:rsidRPr="00AE1693">
              <w:rPr>
                <w:rFonts w:cstheme="minorHAnsi"/>
                <w:sz w:val="20"/>
                <w:szCs w:val="20"/>
              </w:rPr>
              <w:t>Samoa</w:t>
            </w:r>
          </w:p>
        </w:tc>
        <w:tc>
          <w:tcPr>
            <w:tcW w:w="1134" w:type="dxa"/>
            <w:shd w:val="clear" w:color="auto" w:fill="auto"/>
            <w:vAlign w:val="center"/>
          </w:tcPr>
          <w:p w14:paraId="3B3C3B41" w14:textId="77777777" w:rsidR="002D72FF" w:rsidRPr="00AE1693" w:rsidRDefault="002D72FF" w:rsidP="00434F91">
            <w:pPr>
              <w:rPr>
                <w:rFonts w:cstheme="minorHAnsi"/>
                <w:sz w:val="20"/>
                <w:szCs w:val="20"/>
              </w:rPr>
            </w:pPr>
            <w:r w:rsidRPr="00AE1693">
              <w:rPr>
                <w:rFonts w:cstheme="minorHAnsi"/>
                <w:sz w:val="20"/>
                <w:szCs w:val="20"/>
              </w:rPr>
              <w:t>ESEAOR</w:t>
            </w:r>
          </w:p>
        </w:tc>
        <w:tc>
          <w:tcPr>
            <w:tcW w:w="6520" w:type="dxa"/>
            <w:shd w:val="clear" w:color="auto" w:fill="auto"/>
            <w:vAlign w:val="center"/>
          </w:tcPr>
          <w:p w14:paraId="10B9FE83" w14:textId="77777777" w:rsidR="002D72FF" w:rsidRPr="00AE1693" w:rsidRDefault="002D72FF" w:rsidP="00434F91">
            <w:pPr>
              <w:rPr>
                <w:rFonts w:cstheme="minorHAnsi"/>
                <w:sz w:val="20"/>
                <w:szCs w:val="20"/>
              </w:rPr>
            </w:pPr>
            <w:r w:rsidRPr="00AE1693">
              <w:rPr>
                <w:rFonts w:cstheme="minorHAnsi"/>
                <w:sz w:val="20"/>
                <w:szCs w:val="20"/>
              </w:rPr>
              <w:t>High youth population and youth unemployment</w:t>
            </w:r>
          </w:p>
        </w:tc>
      </w:tr>
    </w:tbl>
    <w:p w14:paraId="5AB2E712" w14:textId="4C041004" w:rsidR="002D72FF" w:rsidRPr="00AE1693" w:rsidRDefault="002D72FF" w:rsidP="002D72FF">
      <w:pPr>
        <w:rPr>
          <w:rFonts w:cstheme="minorHAnsi"/>
          <w:sz w:val="20"/>
          <w:szCs w:val="20"/>
        </w:rPr>
      </w:pPr>
      <w:r w:rsidRPr="00AE1693">
        <w:rPr>
          <w:rFonts w:cstheme="minorHAnsi"/>
          <w:b/>
          <w:bCs/>
          <w:sz w:val="20"/>
          <w:szCs w:val="20"/>
        </w:rPr>
        <w:br/>
      </w:r>
      <w:r w:rsidRPr="00AE1693">
        <w:rPr>
          <w:rFonts w:cstheme="minorHAnsi"/>
          <w:sz w:val="20"/>
          <w:szCs w:val="20"/>
        </w:rPr>
        <w:br w:type="page"/>
      </w:r>
    </w:p>
    <w:p w14:paraId="1C578CCF" w14:textId="77777777" w:rsidR="002D72FF" w:rsidRPr="00AE1693" w:rsidRDefault="002D72FF" w:rsidP="002D72FF">
      <w:pPr>
        <w:rPr>
          <w:rFonts w:cstheme="minorHAnsi"/>
          <w:b/>
          <w:bCs/>
          <w:sz w:val="20"/>
          <w:szCs w:val="20"/>
        </w:rPr>
      </w:pPr>
      <w:r w:rsidRPr="00AE1693">
        <w:rPr>
          <w:rFonts w:cstheme="minorHAnsi"/>
          <w:b/>
          <w:bCs/>
          <w:noProof/>
          <w:color w:val="2B579A"/>
          <w:sz w:val="20"/>
          <w:szCs w:val="20"/>
          <w:shd w:val="clear" w:color="auto" w:fill="E6E6E6"/>
        </w:rPr>
        <w:lastRenderedPageBreak/>
        <mc:AlternateContent>
          <mc:Choice Requires="wps">
            <w:drawing>
              <wp:anchor distT="45720" distB="45720" distL="114300" distR="114300" simplePos="0" relativeHeight="251660800" behindDoc="0" locked="0" layoutInCell="1" allowOverlap="1" wp14:anchorId="347254EA" wp14:editId="1D1406AE">
                <wp:simplePos x="0" y="0"/>
                <wp:positionH relativeFrom="margin">
                  <wp:align>left</wp:align>
                </wp:positionH>
                <wp:positionV relativeFrom="paragraph">
                  <wp:posOffset>335280</wp:posOffset>
                </wp:positionV>
                <wp:extent cx="5511800" cy="858520"/>
                <wp:effectExtent l="0" t="0" r="12700" b="17780"/>
                <wp:wrapSquare wrapText="bothSides"/>
                <wp:docPr id="1180937501" name="Text Box 1180937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858741"/>
                        </a:xfrm>
                        <a:prstGeom prst="rect">
                          <a:avLst/>
                        </a:prstGeom>
                        <a:solidFill>
                          <a:srgbClr val="FFFFFF"/>
                        </a:solidFill>
                        <a:ln w="9525">
                          <a:solidFill>
                            <a:srgbClr val="000000"/>
                          </a:solidFill>
                          <a:miter lim="800000"/>
                          <a:headEnd/>
                          <a:tailEnd/>
                        </a:ln>
                      </wps:spPr>
                      <wps:txbx>
                        <w:txbxContent>
                          <w:p w14:paraId="5E86D593" w14:textId="77777777" w:rsidR="002D72FF" w:rsidRPr="00572E21" w:rsidRDefault="002D72FF" w:rsidP="002D72FF">
                            <w:pPr>
                              <w:rPr>
                                <w:b/>
                                <w:bCs/>
                                <w:sz w:val="20"/>
                                <w:szCs w:val="20"/>
                              </w:rPr>
                            </w:pPr>
                            <w:r w:rsidRPr="00572E21">
                              <w:rPr>
                                <w:b/>
                                <w:bCs/>
                                <w:sz w:val="20"/>
                                <w:szCs w:val="20"/>
                              </w:rPr>
                              <w:t>Relevant Strategy commitments:</w:t>
                            </w:r>
                          </w:p>
                          <w:p w14:paraId="75BC4037" w14:textId="77777777" w:rsidR="002D72FF" w:rsidRPr="00572E21" w:rsidRDefault="002D72FF" w:rsidP="002D72FF">
                            <w:pPr>
                              <w:rPr>
                                <w:i/>
                                <w:iCs/>
                                <w:sz w:val="20"/>
                                <w:szCs w:val="20"/>
                                <w:bdr w:val="none" w:sz="0" w:space="0" w:color="auto" w:frame="1"/>
                                <w:shd w:val="clear" w:color="auto" w:fill="FFFFFF"/>
                              </w:rPr>
                            </w:pPr>
                            <w:r w:rsidRPr="00572E21">
                              <w:rPr>
                                <w:i/>
                                <w:iCs/>
                                <w:sz w:val="20"/>
                                <w:szCs w:val="20"/>
                                <w:bdr w:val="none" w:sz="0" w:space="0" w:color="auto" w:frame="1"/>
                                <w:shd w:val="clear" w:color="auto" w:fill="FFFFFF"/>
                              </w:rPr>
                              <w:t>By 2028, narratives and media developed by grassroots partners and movements, and amplified by IPPF, will have had a political impact, and influenced public opinion.</w:t>
                            </w:r>
                          </w:p>
                          <w:p w14:paraId="51F879B0" w14:textId="77777777" w:rsidR="002D72FF" w:rsidRPr="00572E21" w:rsidRDefault="002D72FF" w:rsidP="002D72FF">
                            <w:pPr>
                              <w:rPr>
                                <w:sz w:val="20"/>
                                <w:szCs w:val="20"/>
                              </w:rPr>
                            </w:pPr>
                            <w:r w:rsidRPr="00572E21">
                              <w:rPr>
                                <w:i/>
                                <w:iCs/>
                                <w:sz w:val="20"/>
                                <w:szCs w:val="20"/>
                                <w:bdr w:val="none" w:sz="0" w:space="0" w:color="auto" w:frame="1"/>
                                <w:shd w:val="clear" w:color="auto" w:fill="FFFFFF"/>
                              </w:rPr>
                              <w:t>By 2028, our providers, activists and other human rights defenders will have been protected from violence and harassment, and been linked with rapid response mechanisms.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254EA" id="Text Box 1180937501" o:spid="_x0000_s1028" type="#_x0000_t202" style="position:absolute;margin-left:0;margin-top:26.4pt;width:434pt;height:67.6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">
                <v:textbox>
                  <w:txbxContent>
                    <w:p w14:paraId="5E86D593" w14:textId="77777777" w:rsidR="002D72FF" w:rsidRPr="00572E21" w:rsidRDefault="002D72FF" w:rsidP="002D72FF">
                      <w:pPr>
                        <w:rPr>
                          <w:b/>
                          <w:bCs/>
                          <w:sz w:val="20"/>
                          <w:szCs w:val="20"/>
                        </w:rPr>
                      </w:pPr>
                      <w:r w:rsidRPr="00572E21">
                        <w:rPr>
                          <w:b/>
                          <w:bCs/>
                          <w:sz w:val="20"/>
                          <w:szCs w:val="20"/>
                        </w:rPr>
                        <w:t>Relevant Strategy commitments:</w:t>
                      </w:r>
                    </w:p>
                    <w:p w14:paraId="75BC4037" w14:textId="77777777" w:rsidR="002D72FF" w:rsidRPr="00572E21" w:rsidRDefault="002D72FF" w:rsidP="002D72FF">
                      <w:pPr>
                        <w:rPr>
                          <w:i/>
                          <w:iCs/>
                          <w:sz w:val="20"/>
                          <w:szCs w:val="20"/>
                          <w:bdr w:val="none" w:sz="0" w:space="0" w:color="auto" w:frame="1"/>
                          <w:shd w:val="clear" w:color="auto" w:fill="FFFFFF"/>
                        </w:rPr>
                      </w:pPr>
                      <w:r w:rsidRPr="00572E21">
                        <w:rPr>
                          <w:i/>
                          <w:iCs/>
                          <w:sz w:val="20"/>
                          <w:szCs w:val="20"/>
                          <w:bdr w:val="none" w:sz="0" w:space="0" w:color="auto" w:frame="1"/>
                          <w:shd w:val="clear" w:color="auto" w:fill="FFFFFF"/>
                        </w:rPr>
                        <w:t>By 2028, narratives and media developed by grassroots partners and movements, and amplified by IPPF, will have had a political impact, and influenced public opinion.</w:t>
                      </w:r>
                    </w:p>
                    <w:p w14:paraId="51F879B0" w14:textId="77777777" w:rsidR="002D72FF" w:rsidRPr="00572E21" w:rsidRDefault="002D72FF" w:rsidP="002D72FF">
                      <w:pPr>
                        <w:rPr>
                          <w:sz w:val="20"/>
                          <w:szCs w:val="20"/>
                        </w:rPr>
                      </w:pPr>
                      <w:r w:rsidRPr="00572E21">
                        <w:rPr>
                          <w:i/>
                          <w:iCs/>
                          <w:sz w:val="20"/>
                          <w:szCs w:val="20"/>
                          <w:bdr w:val="none" w:sz="0" w:space="0" w:color="auto" w:frame="1"/>
                          <w:shd w:val="clear" w:color="auto" w:fill="FFFFFF"/>
                        </w:rPr>
                        <w:t>By 2028, our providers, activists and other human rights defenders will have been protected from violence and harassment, and been linked with rapid response mechanisms.</w:t>
                      </w:r>
                    </w:p>
                  </w:txbxContent>
                </v:textbox>
                <w10:wrap type="square" anchorx="margin"/>
              </v:shape>
            </w:pict>
          </mc:Fallback>
        </mc:AlternateContent>
      </w:r>
      <w:r w:rsidRPr="00AE1693">
        <w:rPr>
          <w:rFonts w:cstheme="minorHAnsi"/>
          <w:b/>
          <w:bCs/>
          <w:sz w:val="20"/>
          <w:szCs w:val="20"/>
        </w:rPr>
        <w:t>Indicator 8: IPPF's contribution in supporting social movements and defending activists</w:t>
      </w:r>
    </w:p>
    <w:p w14:paraId="65C1B0EC" w14:textId="77777777" w:rsidR="002D72FF" w:rsidRPr="00AE1693" w:rsidRDefault="002D72FF" w:rsidP="002D72FF">
      <w:pPr>
        <w:rPr>
          <w:rFonts w:cstheme="minorHAnsi"/>
          <w:b/>
          <w:bCs/>
          <w:sz w:val="20"/>
          <w:szCs w:val="20"/>
        </w:rPr>
      </w:pPr>
      <w:r w:rsidRPr="00AE1693">
        <w:rPr>
          <w:rFonts w:cstheme="minorHAnsi"/>
          <w:b/>
          <w:bCs/>
          <w:sz w:val="20"/>
          <w:szCs w:val="20"/>
        </w:rPr>
        <w:t>Key research question</w:t>
      </w:r>
    </w:p>
    <w:p w14:paraId="52AD31C3" w14:textId="77777777" w:rsidR="002D72FF" w:rsidRDefault="002D72FF" w:rsidP="002D72FF">
      <w:pPr>
        <w:rPr>
          <w:rFonts w:cstheme="minorHAnsi"/>
          <w:sz w:val="20"/>
          <w:szCs w:val="20"/>
        </w:rPr>
      </w:pPr>
      <w:r w:rsidRPr="00AE1693">
        <w:rPr>
          <w:rFonts w:cstheme="minorHAnsi"/>
          <w:sz w:val="20"/>
          <w:szCs w:val="20"/>
        </w:rPr>
        <w:t xml:space="preserve">How have IPPF’s interventions contributed to supporting social movements and activists to amplify and achieve our common goal around SRHR&amp;J? </w:t>
      </w:r>
    </w:p>
    <w:p w14:paraId="10773E9B" w14:textId="77777777" w:rsidR="005A0000" w:rsidRPr="00AE1693" w:rsidRDefault="005A0000" w:rsidP="002D72FF">
      <w:pPr>
        <w:rPr>
          <w:rFonts w:cstheme="minorHAnsi"/>
          <w:sz w:val="20"/>
          <w:szCs w:val="20"/>
        </w:rPr>
      </w:pPr>
    </w:p>
    <w:tbl>
      <w:tblPr>
        <w:tblStyle w:val="TableGrid"/>
        <w:tblW w:w="0" w:type="auto"/>
        <w:tblLook w:val="04A0" w:firstRow="1" w:lastRow="0" w:firstColumn="1" w:lastColumn="0" w:noHBand="0" w:noVBand="1"/>
      </w:tblPr>
      <w:tblGrid>
        <w:gridCol w:w="1437"/>
        <w:gridCol w:w="7198"/>
      </w:tblGrid>
      <w:tr w:rsidR="002D72FF" w:rsidRPr="00AE1693" w14:paraId="7D2D750B" w14:textId="77777777" w:rsidTr="005A0000">
        <w:tc>
          <w:tcPr>
            <w:tcW w:w="8635" w:type="dxa"/>
            <w:gridSpan w:val="2"/>
            <w:shd w:val="clear" w:color="auto" w:fill="auto"/>
          </w:tcPr>
          <w:p w14:paraId="1115676D" w14:textId="77777777" w:rsidR="002D72FF" w:rsidRPr="00AE1693" w:rsidRDefault="002D72FF" w:rsidP="00434F91">
            <w:pPr>
              <w:rPr>
                <w:rFonts w:cstheme="minorHAnsi"/>
                <w:sz w:val="20"/>
                <w:szCs w:val="20"/>
              </w:rPr>
            </w:pPr>
            <w:r w:rsidRPr="00AE1693">
              <w:rPr>
                <w:rFonts w:cstheme="minorHAnsi"/>
                <w:b/>
                <w:bCs/>
                <w:sz w:val="20"/>
                <w:szCs w:val="20"/>
              </w:rPr>
              <w:t>Sub-research questions</w:t>
            </w:r>
          </w:p>
        </w:tc>
      </w:tr>
      <w:tr w:rsidR="002D72FF" w:rsidRPr="00AE1693" w14:paraId="522E9ADF" w14:textId="77777777" w:rsidTr="005A0000">
        <w:tc>
          <w:tcPr>
            <w:tcW w:w="1437" w:type="dxa"/>
            <w:shd w:val="clear" w:color="auto" w:fill="auto"/>
          </w:tcPr>
          <w:p w14:paraId="53F02CE4" w14:textId="77777777" w:rsidR="002D72FF" w:rsidRPr="00AE1693" w:rsidRDefault="002D72FF" w:rsidP="00434F91">
            <w:pPr>
              <w:rPr>
                <w:rFonts w:cstheme="minorHAnsi"/>
                <w:b/>
                <w:bCs/>
                <w:sz w:val="20"/>
                <w:szCs w:val="20"/>
              </w:rPr>
            </w:pPr>
            <w:r w:rsidRPr="00AE1693">
              <w:rPr>
                <w:rFonts w:cstheme="minorHAnsi"/>
                <w:b/>
                <w:bCs/>
                <w:sz w:val="20"/>
                <w:szCs w:val="20"/>
              </w:rPr>
              <w:t>2024 data collection – priority RQs</w:t>
            </w:r>
          </w:p>
        </w:tc>
        <w:tc>
          <w:tcPr>
            <w:tcW w:w="7198" w:type="dxa"/>
            <w:shd w:val="clear" w:color="auto" w:fill="auto"/>
          </w:tcPr>
          <w:p w14:paraId="3FF71772" w14:textId="1033AE5D"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How do MAs and/or Collaborative Partners</w:t>
            </w:r>
            <w:r w:rsidR="00866A1F">
              <w:rPr>
                <w:rFonts w:asciiTheme="minorHAnsi" w:hAnsiTheme="minorHAnsi" w:cstheme="minorHAnsi"/>
                <w:sz w:val="20"/>
                <w:szCs w:val="20"/>
              </w:rPr>
              <w:t>,</w:t>
            </w:r>
            <w:r w:rsidR="00E75739">
              <w:rPr>
                <w:rFonts w:asciiTheme="minorHAnsi" w:hAnsiTheme="minorHAnsi" w:cstheme="minorHAnsi"/>
                <w:sz w:val="20"/>
                <w:szCs w:val="20"/>
              </w:rPr>
              <w:t xml:space="preserve"> and the allies / coalitions they </w:t>
            </w:r>
            <w:r w:rsidR="00866A1F">
              <w:rPr>
                <w:rFonts w:asciiTheme="minorHAnsi" w:hAnsiTheme="minorHAnsi" w:cstheme="minorHAnsi"/>
                <w:sz w:val="20"/>
                <w:szCs w:val="20"/>
              </w:rPr>
              <w:t>partner with,</w:t>
            </w:r>
            <w:r w:rsidRPr="00AE1693">
              <w:rPr>
                <w:rFonts w:asciiTheme="minorHAnsi" w:hAnsiTheme="minorHAnsi" w:cstheme="minorHAnsi"/>
                <w:sz w:val="20"/>
                <w:szCs w:val="20"/>
              </w:rPr>
              <w:t xml:space="preserve"> engage with social movements and activists? </w:t>
            </w:r>
          </w:p>
          <w:p w14:paraId="054B4A7B"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What are the enablers and barriers MAs encounter related to working with informal and grassroots organisations? How are MAs capitalising on the enablers and addressing the barriers?</w:t>
            </w:r>
            <w:r w:rsidRPr="00AE1693" w:rsidDel="002F4A36">
              <w:rPr>
                <w:rFonts w:asciiTheme="minorHAnsi" w:hAnsiTheme="minorHAnsi" w:cstheme="minorHAnsi"/>
                <w:sz w:val="20"/>
                <w:szCs w:val="20"/>
              </w:rPr>
              <w:t xml:space="preserve"> </w:t>
            </w:r>
          </w:p>
          <w:p w14:paraId="347510E6"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How effective are existing measure in place to protect providers, activists and human rights defenders from violence and harassment?</w:t>
            </w:r>
          </w:p>
          <w:p w14:paraId="0A161496"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To what extent does the work of MAs already overlap with social movements and activists in</w:t>
            </w:r>
            <w:r w:rsidRPr="00AE1693" w:rsidDel="00481F77">
              <w:rPr>
                <w:rFonts w:asciiTheme="minorHAnsi" w:hAnsiTheme="minorHAnsi" w:cstheme="minorHAnsi"/>
                <w:sz w:val="20"/>
                <w:szCs w:val="20"/>
              </w:rPr>
              <w:t xml:space="preserve"> the </w:t>
            </w:r>
            <w:r w:rsidRPr="00AE1693">
              <w:rPr>
                <w:rFonts w:asciiTheme="minorHAnsi" w:hAnsiTheme="minorHAnsi" w:cstheme="minorHAnsi"/>
                <w:sz w:val="20"/>
                <w:szCs w:val="20"/>
              </w:rPr>
              <w:t>spaces they occupy?</w:t>
            </w:r>
            <w:r w:rsidRPr="00AE1693" w:rsidDel="00481F77">
              <w:rPr>
                <w:rFonts w:asciiTheme="minorHAnsi" w:hAnsiTheme="minorHAnsi" w:cstheme="minorHAnsi"/>
                <w:sz w:val="20"/>
                <w:szCs w:val="20"/>
              </w:rPr>
              <w:t xml:space="preserve"> </w:t>
            </w:r>
            <w:r w:rsidRPr="00AE1693">
              <w:rPr>
                <w:rFonts w:asciiTheme="minorHAnsi" w:hAnsiTheme="minorHAnsi" w:cstheme="minorHAnsi"/>
                <w:sz w:val="20"/>
                <w:szCs w:val="20"/>
              </w:rPr>
              <w:t>What roles can social movements and activists play that MAs cannot or should not, and how does this affect IPPF’s approach to building links with social movements in activists?</w:t>
            </w:r>
          </w:p>
          <w:p w14:paraId="0C20677B"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To what extent has IPPF’s support contributed to their reach and effectiveness?</w:t>
            </w:r>
          </w:p>
        </w:tc>
      </w:tr>
      <w:tr w:rsidR="002D72FF" w:rsidRPr="00AE1693" w14:paraId="3E1693FE" w14:textId="77777777" w:rsidTr="005A0000">
        <w:tc>
          <w:tcPr>
            <w:tcW w:w="1437" w:type="dxa"/>
            <w:shd w:val="clear" w:color="auto" w:fill="F2F2F2" w:themeFill="background1" w:themeFillShade="F2"/>
          </w:tcPr>
          <w:p w14:paraId="60F837E6" w14:textId="77777777" w:rsidR="002D72FF" w:rsidRPr="00AE1693" w:rsidRDefault="002D72FF" w:rsidP="00434F91">
            <w:pPr>
              <w:rPr>
                <w:rFonts w:cstheme="minorHAnsi"/>
                <w:b/>
                <w:bCs/>
                <w:sz w:val="20"/>
                <w:szCs w:val="20"/>
              </w:rPr>
            </w:pPr>
            <w:r w:rsidRPr="00AE1693">
              <w:rPr>
                <w:rFonts w:cstheme="minorHAnsi"/>
                <w:b/>
                <w:bCs/>
                <w:sz w:val="20"/>
                <w:szCs w:val="20"/>
              </w:rPr>
              <w:t>2026, 2028 additional RQs</w:t>
            </w:r>
          </w:p>
        </w:tc>
        <w:tc>
          <w:tcPr>
            <w:tcW w:w="7198" w:type="dxa"/>
            <w:shd w:val="clear" w:color="auto" w:fill="F2F2F2" w:themeFill="background1" w:themeFillShade="F2"/>
          </w:tcPr>
          <w:p w14:paraId="2D85590F"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How does the role of MAs as service providing organisations affect their ability to work with social movements and activists?</w:t>
            </w:r>
          </w:p>
          <w:p w14:paraId="6FB65A81"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How have engaging with community and social movements supported and/or created challenges for</w:t>
            </w:r>
            <w:r w:rsidRPr="00AE1693" w:rsidDel="00654D34">
              <w:rPr>
                <w:rFonts w:asciiTheme="minorHAnsi" w:hAnsiTheme="minorHAnsi" w:cstheme="minorHAnsi"/>
                <w:sz w:val="20"/>
                <w:szCs w:val="20"/>
              </w:rPr>
              <w:t xml:space="preserve"> </w:t>
            </w:r>
            <w:r w:rsidRPr="00AE1693">
              <w:rPr>
                <w:rFonts w:asciiTheme="minorHAnsi" w:hAnsiTheme="minorHAnsi" w:cstheme="minorHAnsi"/>
                <w:sz w:val="20"/>
                <w:szCs w:val="20"/>
              </w:rPr>
              <w:t xml:space="preserve">the programming and leadership of individual MAs and IPPF in general?  </w:t>
            </w:r>
          </w:p>
          <w:p w14:paraId="41BB00B2" w14:textId="77777777" w:rsidR="002D72FF" w:rsidRPr="00AE1693" w:rsidRDefault="002D72FF" w:rsidP="002D72FF">
            <w:pPr>
              <w:pStyle w:val="NormalWeb"/>
              <w:numPr>
                <w:ilvl w:val="0"/>
                <w:numId w:val="20"/>
              </w:numPr>
              <w:spacing w:before="0" w:beforeAutospacing="0" w:after="0" w:afterAutospacing="0"/>
              <w:rPr>
                <w:rFonts w:asciiTheme="minorHAnsi" w:hAnsiTheme="minorHAnsi" w:cstheme="minorHAnsi"/>
                <w:sz w:val="20"/>
                <w:szCs w:val="20"/>
              </w:rPr>
            </w:pPr>
            <w:r w:rsidRPr="00AE1693">
              <w:rPr>
                <w:rFonts w:asciiTheme="minorHAnsi" w:hAnsiTheme="minorHAnsi" w:cstheme="minorHAnsi"/>
                <w:sz w:val="20"/>
                <w:szCs w:val="20"/>
              </w:rPr>
              <w:t>How is IPPF able to support and protect SRHR defenders (providers and activists) who are targeted by the opposition with violence and harassment?</w:t>
            </w:r>
          </w:p>
        </w:tc>
      </w:tr>
    </w:tbl>
    <w:p w14:paraId="03383D43" w14:textId="77777777" w:rsidR="002D72FF" w:rsidRPr="00AE1693" w:rsidRDefault="002D72FF" w:rsidP="002D72FF">
      <w:pPr>
        <w:rPr>
          <w:rFonts w:cstheme="minorHAnsi"/>
          <w:b/>
          <w:bCs/>
          <w:sz w:val="20"/>
          <w:szCs w:val="20"/>
        </w:rPr>
      </w:pPr>
      <w:r w:rsidRPr="00AE1693">
        <w:rPr>
          <w:rFonts w:cstheme="minorHAnsi"/>
        </w:rPr>
        <w:br/>
      </w:r>
      <w:r w:rsidRPr="00AE1693">
        <w:rPr>
          <w:rFonts w:cstheme="minorHAnsi"/>
          <w:b/>
          <w:bCs/>
          <w:sz w:val="20"/>
          <w:szCs w:val="20"/>
        </w:rPr>
        <w:t>Key respondents:</w:t>
      </w:r>
    </w:p>
    <w:p w14:paraId="1F92D97B" w14:textId="77777777" w:rsidR="002D72FF" w:rsidRPr="00AE1693" w:rsidRDefault="002D72FF" w:rsidP="002D72FF">
      <w:pPr>
        <w:pStyle w:val="ListBullet"/>
        <w:rPr>
          <w:rFonts w:cstheme="minorHAnsi"/>
          <w:sz w:val="20"/>
          <w:szCs w:val="20"/>
        </w:rPr>
      </w:pPr>
      <w:r w:rsidRPr="00AE1693">
        <w:rPr>
          <w:rFonts w:cstheme="minorHAnsi"/>
          <w:sz w:val="20"/>
          <w:szCs w:val="20"/>
        </w:rPr>
        <w:t>MA staff</w:t>
      </w:r>
    </w:p>
    <w:p w14:paraId="5FAE089E" w14:textId="77777777" w:rsidR="002D72FF" w:rsidRPr="00AE1693" w:rsidRDefault="002D72FF" w:rsidP="002D72FF">
      <w:pPr>
        <w:pStyle w:val="ListBullet"/>
        <w:rPr>
          <w:rFonts w:cstheme="minorHAnsi"/>
          <w:sz w:val="20"/>
          <w:szCs w:val="20"/>
        </w:rPr>
      </w:pPr>
      <w:r w:rsidRPr="00AE1693">
        <w:rPr>
          <w:rFonts w:cstheme="minorHAnsi"/>
          <w:sz w:val="20"/>
          <w:szCs w:val="20"/>
        </w:rPr>
        <w:t>IPPF Secretariat staff</w:t>
      </w:r>
    </w:p>
    <w:p w14:paraId="328D8A70" w14:textId="77777777" w:rsidR="002D72FF" w:rsidRPr="00AE1693" w:rsidRDefault="002D72FF" w:rsidP="002D72FF">
      <w:pPr>
        <w:pStyle w:val="ListBullet"/>
        <w:rPr>
          <w:rFonts w:cstheme="minorHAnsi"/>
          <w:sz w:val="20"/>
          <w:szCs w:val="20"/>
        </w:rPr>
      </w:pPr>
      <w:r w:rsidRPr="00AE1693">
        <w:rPr>
          <w:rFonts w:cstheme="minorHAnsi"/>
          <w:sz w:val="20"/>
          <w:szCs w:val="20"/>
        </w:rPr>
        <w:t>National stakeholders</w:t>
      </w:r>
    </w:p>
    <w:p w14:paraId="7B04B9E2" w14:textId="77777777" w:rsidR="002D72FF" w:rsidRPr="00AE1693" w:rsidRDefault="002D72FF" w:rsidP="002D72FF">
      <w:pPr>
        <w:pStyle w:val="ListBullet"/>
        <w:rPr>
          <w:rFonts w:cstheme="minorHAnsi"/>
          <w:sz w:val="20"/>
          <w:szCs w:val="20"/>
        </w:rPr>
      </w:pPr>
      <w:r w:rsidRPr="00AE1693">
        <w:rPr>
          <w:rFonts w:cstheme="minorHAnsi"/>
          <w:sz w:val="20"/>
          <w:szCs w:val="20"/>
        </w:rPr>
        <w:t>Social movement staff or members, and activists</w:t>
      </w:r>
    </w:p>
    <w:p w14:paraId="7F5C1313" w14:textId="77777777" w:rsidR="002D72FF" w:rsidRPr="00AE1693" w:rsidRDefault="002D72FF" w:rsidP="002D72FF">
      <w:pPr>
        <w:rPr>
          <w:rFonts w:cstheme="minorHAnsi"/>
          <w:b/>
          <w:bCs/>
          <w:sz w:val="20"/>
          <w:szCs w:val="20"/>
        </w:rPr>
      </w:pPr>
      <w:r w:rsidRPr="00AE1693">
        <w:rPr>
          <w:rFonts w:cstheme="minorHAnsi"/>
          <w:b/>
          <w:bCs/>
          <w:sz w:val="20"/>
          <w:szCs w:val="20"/>
        </w:rPr>
        <w:t>Country selection</w:t>
      </w:r>
    </w:p>
    <w:p w14:paraId="0A54C966" w14:textId="77777777" w:rsidR="002D72FF" w:rsidRPr="00AE1693" w:rsidRDefault="002D72FF" w:rsidP="002D72FF">
      <w:pPr>
        <w:rPr>
          <w:rFonts w:cstheme="minorHAnsi"/>
          <w:sz w:val="20"/>
          <w:szCs w:val="20"/>
        </w:rPr>
      </w:pPr>
      <w:r w:rsidRPr="00AE1693">
        <w:rPr>
          <w:rFonts w:cstheme="minorHAnsi"/>
          <w:sz w:val="20"/>
          <w:szCs w:val="20"/>
        </w:rPr>
        <w:t>Country selection is based on the presence of social movements and activists within country which are partnering with and/or supported by IPPF MAs and/or Secretariat.</w:t>
      </w:r>
    </w:p>
    <w:tbl>
      <w:tblPr>
        <w:tblStyle w:val="TableGrid"/>
        <w:tblW w:w="0" w:type="auto"/>
        <w:tblLook w:val="04A0" w:firstRow="1" w:lastRow="0" w:firstColumn="1" w:lastColumn="0" w:noHBand="0" w:noVBand="1"/>
      </w:tblPr>
      <w:tblGrid>
        <w:gridCol w:w="1852"/>
        <w:gridCol w:w="1645"/>
        <w:gridCol w:w="4862"/>
      </w:tblGrid>
      <w:tr w:rsidR="002D72FF" w:rsidRPr="00AE1693" w14:paraId="7AEA6370" w14:textId="77777777" w:rsidTr="00434F91">
        <w:tc>
          <w:tcPr>
            <w:tcW w:w="1852" w:type="dxa"/>
          </w:tcPr>
          <w:p w14:paraId="71BF0D84" w14:textId="77777777" w:rsidR="002D72FF" w:rsidRPr="00AE1693" w:rsidRDefault="002D72FF" w:rsidP="00434F91">
            <w:pPr>
              <w:rPr>
                <w:rFonts w:cstheme="minorHAnsi"/>
                <w:b/>
                <w:bCs/>
                <w:sz w:val="20"/>
                <w:szCs w:val="20"/>
              </w:rPr>
            </w:pPr>
            <w:r w:rsidRPr="00AE1693">
              <w:rPr>
                <w:rFonts w:cstheme="minorHAnsi"/>
                <w:b/>
                <w:bCs/>
                <w:sz w:val="20"/>
                <w:szCs w:val="20"/>
              </w:rPr>
              <w:t>Country</w:t>
            </w:r>
          </w:p>
        </w:tc>
        <w:tc>
          <w:tcPr>
            <w:tcW w:w="1645" w:type="dxa"/>
          </w:tcPr>
          <w:p w14:paraId="49767B63" w14:textId="77777777" w:rsidR="002D72FF" w:rsidRPr="00AE1693" w:rsidRDefault="002D72FF" w:rsidP="00434F91">
            <w:pPr>
              <w:rPr>
                <w:rFonts w:cstheme="minorHAnsi"/>
                <w:b/>
                <w:bCs/>
                <w:sz w:val="20"/>
                <w:szCs w:val="20"/>
              </w:rPr>
            </w:pPr>
            <w:r w:rsidRPr="00AE1693">
              <w:rPr>
                <w:rFonts w:cstheme="minorHAnsi"/>
                <w:b/>
                <w:bCs/>
                <w:sz w:val="20"/>
                <w:szCs w:val="20"/>
              </w:rPr>
              <w:t>Region</w:t>
            </w:r>
          </w:p>
        </w:tc>
        <w:tc>
          <w:tcPr>
            <w:tcW w:w="4862" w:type="dxa"/>
          </w:tcPr>
          <w:p w14:paraId="6168574F" w14:textId="77777777" w:rsidR="002D72FF" w:rsidRPr="00AE1693" w:rsidRDefault="002D72FF" w:rsidP="00434F91">
            <w:pPr>
              <w:rPr>
                <w:rFonts w:cstheme="minorHAnsi"/>
                <w:b/>
                <w:bCs/>
                <w:sz w:val="20"/>
                <w:szCs w:val="20"/>
              </w:rPr>
            </w:pPr>
            <w:r w:rsidRPr="00AE1693">
              <w:rPr>
                <w:rFonts w:cstheme="minorHAnsi"/>
                <w:b/>
                <w:bCs/>
                <w:sz w:val="20"/>
                <w:szCs w:val="20"/>
              </w:rPr>
              <w:t>Comments</w:t>
            </w:r>
          </w:p>
        </w:tc>
      </w:tr>
      <w:tr w:rsidR="002D72FF" w:rsidRPr="00AE1693" w14:paraId="14F348F7" w14:textId="77777777" w:rsidTr="00434F91">
        <w:tc>
          <w:tcPr>
            <w:tcW w:w="1852" w:type="dxa"/>
          </w:tcPr>
          <w:p w14:paraId="0CF5B58E" w14:textId="77777777" w:rsidR="002D72FF" w:rsidRPr="00AE1693" w:rsidRDefault="002D72FF" w:rsidP="00434F91">
            <w:pPr>
              <w:rPr>
                <w:rFonts w:cstheme="minorHAnsi"/>
                <w:sz w:val="20"/>
                <w:szCs w:val="20"/>
              </w:rPr>
            </w:pPr>
            <w:r w:rsidRPr="00AE1693">
              <w:rPr>
                <w:rFonts w:cstheme="minorHAnsi"/>
                <w:sz w:val="20"/>
                <w:szCs w:val="20"/>
              </w:rPr>
              <w:t>Barbados</w:t>
            </w:r>
          </w:p>
        </w:tc>
        <w:tc>
          <w:tcPr>
            <w:tcW w:w="1645" w:type="dxa"/>
          </w:tcPr>
          <w:p w14:paraId="4942B16C" w14:textId="77777777" w:rsidR="002D72FF" w:rsidRPr="00AE1693" w:rsidRDefault="002D72FF" w:rsidP="00434F91">
            <w:pPr>
              <w:rPr>
                <w:rFonts w:cstheme="minorHAnsi"/>
                <w:color w:val="000000"/>
                <w:sz w:val="20"/>
                <w:szCs w:val="20"/>
              </w:rPr>
            </w:pPr>
            <w:r w:rsidRPr="00AE1693">
              <w:rPr>
                <w:rFonts w:cstheme="minorHAnsi"/>
                <w:color w:val="000000"/>
                <w:sz w:val="20"/>
                <w:szCs w:val="20"/>
              </w:rPr>
              <w:t>ACRO</w:t>
            </w:r>
          </w:p>
        </w:tc>
        <w:tc>
          <w:tcPr>
            <w:tcW w:w="4862" w:type="dxa"/>
          </w:tcPr>
          <w:p w14:paraId="1E9D55DA" w14:textId="77777777" w:rsidR="002D72FF" w:rsidRPr="00AE1693" w:rsidRDefault="002D72FF" w:rsidP="00434F91">
            <w:pPr>
              <w:rPr>
                <w:rFonts w:cstheme="minorHAnsi"/>
                <w:sz w:val="20"/>
                <w:szCs w:val="20"/>
              </w:rPr>
            </w:pPr>
            <w:r w:rsidRPr="00AE1693">
              <w:rPr>
                <w:rFonts w:cstheme="minorHAnsi"/>
                <w:sz w:val="20"/>
                <w:szCs w:val="20"/>
              </w:rPr>
              <w:t>Related to community-focused work</w:t>
            </w:r>
          </w:p>
        </w:tc>
      </w:tr>
      <w:tr w:rsidR="002D72FF" w:rsidRPr="00AE1693" w14:paraId="3AF1CFE0" w14:textId="77777777" w:rsidTr="00434F91">
        <w:tc>
          <w:tcPr>
            <w:tcW w:w="1852" w:type="dxa"/>
          </w:tcPr>
          <w:p w14:paraId="5442EB1E" w14:textId="77777777" w:rsidR="002D72FF" w:rsidRPr="00AE1693" w:rsidRDefault="002D72FF" w:rsidP="00434F91">
            <w:pPr>
              <w:rPr>
                <w:rFonts w:cstheme="minorHAnsi"/>
                <w:sz w:val="20"/>
                <w:szCs w:val="20"/>
              </w:rPr>
            </w:pPr>
            <w:r w:rsidRPr="00AE1693">
              <w:rPr>
                <w:rFonts w:cstheme="minorHAnsi"/>
                <w:sz w:val="20"/>
                <w:szCs w:val="20"/>
              </w:rPr>
              <w:t>Philippines</w:t>
            </w:r>
          </w:p>
        </w:tc>
        <w:tc>
          <w:tcPr>
            <w:tcW w:w="1645" w:type="dxa"/>
          </w:tcPr>
          <w:p w14:paraId="2642D15D" w14:textId="77777777" w:rsidR="002D72FF" w:rsidRPr="00AE1693" w:rsidRDefault="002D72FF" w:rsidP="00434F91">
            <w:pPr>
              <w:rPr>
                <w:rFonts w:cstheme="minorHAnsi"/>
                <w:sz w:val="20"/>
                <w:szCs w:val="20"/>
              </w:rPr>
            </w:pPr>
            <w:r w:rsidRPr="00AE1693">
              <w:rPr>
                <w:rFonts w:cstheme="minorHAnsi"/>
                <w:sz w:val="20"/>
                <w:szCs w:val="20"/>
              </w:rPr>
              <w:t>ESEAOR</w:t>
            </w:r>
          </w:p>
        </w:tc>
        <w:tc>
          <w:tcPr>
            <w:tcW w:w="4862" w:type="dxa"/>
          </w:tcPr>
          <w:p w14:paraId="6C66B31A" w14:textId="77777777" w:rsidR="002D72FF" w:rsidRPr="00AE1693" w:rsidRDefault="002D72FF" w:rsidP="00434F91">
            <w:pPr>
              <w:rPr>
                <w:rFonts w:cstheme="minorHAnsi"/>
                <w:sz w:val="20"/>
                <w:szCs w:val="20"/>
              </w:rPr>
            </w:pPr>
            <w:r w:rsidRPr="00AE1693">
              <w:rPr>
                <w:rFonts w:cstheme="minorHAnsi"/>
                <w:sz w:val="20"/>
                <w:szCs w:val="20"/>
              </w:rPr>
              <w:t>Strong opposition movement, MA partnering with social movement organisations, links with service delivery</w:t>
            </w:r>
          </w:p>
        </w:tc>
      </w:tr>
      <w:tr w:rsidR="002D72FF" w:rsidRPr="00AE1693" w14:paraId="1FD68EBB" w14:textId="77777777" w:rsidTr="00434F91">
        <w:tc>
          <w:tcPr>
            <w:tcW w:w="1852" w:type="dxa"/>
          </w:tcPr>
          <w:p w14:paraId="69C09FB6" w14:textId="77777777" w:rsidR="002D72FF" w:rsidRPr="00AE1693" w:rsidRDefault="002D72FF" w:rsidP="00434F91">
            <w:pPr>
              <w:rPr>
                <w:rFonts w:cstheme="minorHAnsi"/>
                <w:sz w:val="20"/>
                <w:szCs w:val="20"/>
              </w:rPr>
            </w:pPr>
            <w:r w:rsidRPr="00AE1693">
              <w:rPr>
                <w:rFonts w:cstheme="minorHAnsi"/>
                <w:sz w:val="20"/>
                <w:szCs w:val="20"/>
              </w:rPr>
              <w:t>Poland</w:t>
            </w:r>
          </w:p>
        </w:tc>
        <w:tc>
          <w:tcPr>
            <w:tcW w:w="1645" w:type="dxa"/>
          </w:tcPr>
          <w:p w14:paraId="1DBBF311" w14:textId="77777777" w:rsidR="002D72FF" w:rsidRPr="00AE1693" w:rsidRDefault="002D72FF" w:rsidP="00434F91">
            <w:pPr>
              <w:rPr>
                <w:rFonts w:cstheme="minorHAnsi"/>
                <w:sz w:val="20"/>
                <w:szCs w:val="20"/>
              </w:rPr>
            </w:pPr>
            <w:r w:rsidRPr="00AE1693">
              <w:rPr>
                <w:rFonts w:cstheme="minorHAnsi"/>
                <w:sz w:val="20"/>
                <w:szCs w:val="20"/>
              </w:rPr>
              <w:t>EN</w:t>
            </w:r>
          </w:p>
        </w:tc>
        <w:tc>
          <w:tcPr>
            <w:tcW w:w="4862" w:type="dxa"/>
          </w:tcPr>
          <w:p w14:paraId="4E68A6DF" w14:textId="77777777" w:rsidR="002D72FF" w:rsidRPr="00AE1693" w:rsidRDefault="002D72FF" w:rsidP="00434F91">
            <w:pPr>
              <w:rPr>
                <w:rFonts w:cstheme="minorHAnsi"/>
                <w:sz w:val="20"/>
                <w:szCs w:val="20"/>
              </w:rPr>
            </w:pPr>
            <w:r w:rsidRPr="00AE1693">
              <w:rPr>
                <w:rFonts w:cstheme="minorHAnsi"/>
                <w:sz w:val="20"/>
                <w:szCs w:val="20"/>
              </w:rPr>
              <w:t>Political change may occur post-election – might still be interesting</w:t>
            </w:r>
          </w:p>
        </w:tc>
      </w:tr>
      <w:tr w:rsidR="002D72FF" w:rsidRPr="00AE1693" w14:paraId="3F49A361" w14:textId="77777777" w:rsidTr="00434F91">
        <w:tc>
          <w:tcPr>
            <w:tcW w:w="1852" w:type="dxa"/>
          </w:tcPr>
          <w:p w14:paraId="052E6DFC" w14:textId="77777777" w:rsidR="002D72FF" w:rsidRPr="00AE1693" w:rsidRDefault="002D72FF" w:rsidP="00434F91">
            <w:pPr>
              <w:rPr>
                <w:rFonts w:cstheme="minorHAnsi"/>
                <w:sz w:val="20"/>
                <w:szCs w:val="20"/>
              </w:rPr>
            </w:pPr>
            <w:r w:rsidRPr="00AE1693">
              <w:rPr>
                <w:rFonts w:cstheme="minorHAnsi"/>
                <w:sz w:val="20"/>
                <w:szCs w:val="20"/>
              </w:rPr>
              <w:t>India</w:t>
            </w:r>
          </w:p>
        </w:tc>
        <w:tc>
          <w:tcPr>
            <w:tcW w:w="1645" w:type="dxa"/>
          </w:tcPr>
          <w:p w14:paraId="613E0C0D" w14:textId="77777777" w:rsidR="002D72FF" w:rsidRPr="00AE1693" w:rsidRDefault="002D72FF" w:rsidP="00434F91">
            <w:pPr>
              <w:rPr>
                <w:rFonts w:cstheme="minorHAnsi"/>
                <w:sz w:val="20"/>
                <w:szCs w:val="20"/>
              </w:rPr>
            </w:pPr>
            <w:r w:rsidRPr="00AE1693">
              <w:rPr>
                <w:rFonts w:cstheme="minorHAnsi"/>
                <w:sz w:val="20"/>
                <w:szCs w:val="20"/>
              </w:rPr>
              <w:t>SARO</w:t>
            </w:r>
          </w:p>
        </w:tc>
        <w:tc>
          <w:tcPr>
            <w:tcW w:w="4862" w:type="dxa"/>
          </w:tcPr>
          <w:p w14:paraId="24612EB5" w14:textId="77777777" w:rsidR="002D72FF" w:rsidRPr="00AE1693" w:rsidRDefault="002D72FF" w:rsidP="00434F91">
            <w:pPr>
              <w:rPr>
                <w:rFonts w:cstheme="minorHAnsi"/>
                <w:sz w:val="20"/>
                <w:szCs w:val="20"/>
              </w:rPr>
            </w:pPr>
            <w:r w:rsidRPr="00AE1693">
              <w:rPr>
                <w:rFonts w:cstheme="minorHAnsi"/>
                <w:sz w:val="20"/>
                <w:szCs w:val="20"/>
              </w:rPr>
              <w:t>Work with sex workers/transgender communities</w:t>
            </w:r>
          </w:p>
        </w:tc>
      </w:tr>
    </w:tbl>
    <w:p w14:paraId="1E5A4D29" w14:textId="77777777" w:rsidR="00F6132B" w:rsidRPr="00AE1693" w:rsidRDefault="00F6132B" w:rsidP="00F6132B">
      <w:pPr>
        <w:rPr>
          <w:rFonts w:cstheme="minorHAnsi"/>
          <w:sz w:val="24"/>
          <w:szCs w:val="24"/>
        </w:rPr>
      </w:pPr>
    </w:p>
    <w:sectPr w:rsidR="00F6132B" w:rsidRPr="00AE1693" w:rsidSect="00FC1C08">
      <w:footerReference w:type="default" r:id="rId12"/>
      <w:headerReference w:type="first" r:id="rId13"/>
      <w:footerReference w:type="first" r:id="rId14"/>
      <w:pgSz w:w="11900" w:h="16840" w:code="9"/>
      <w:pgMar w:top="2552" w:right="1837" w:bottom="2127" w:left="1418" w:header="709" w:footer="74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8739" w14:textId="77777777" w:rsidR="00FC1C08" w:rsidRDefault="00FC1C08" w:rsidP="00A906E9">
      <w:r>
        <w:separator/>
      </w:r>
    </w:p>
  </w:endnote>
  <w:endnote w:type="continuationSeparator" w:id="0">
    <w:p w14:paraId="5BD4F741" w14:textId="77777777" w:rsidR="00FC1C08" w:rsidRDefault="00FC1C08" w:rsidP="00A9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w:altName w:val="DokChampa"/>
    <w:panose1 w:val="00000000000000000000"/>
    <w:charset w:val="4D"/>
    <w:family w:val="auto"/>
    <w:notTrueType/>
    <w:pitch w:val="default"/>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10325"/>
      <w:docPartObj>
        <w:docPartGallery w:val="Page Numbers (Bottom of Page)"/>
        <w:docPartUnique/>
      </w:docPartObj>
    </w:sdtPr>
    <w:sdtEndPr>
      <w:rPr>
        <w:noProof/>
      </w:rPr>
    </w:sdtEndPr>
    <w:sdtContent>
      <w:p w14:paraId="6AFE3431" w14:textId="1F3FDFDA" w:rsidR="00F6132B" w:rsidRDefault="00F6132B">
        <w:pPr>
          <w:pStyle w:val="Footer"/>
          <w:jc w:val="center"/>
        </w:pPr>
        <w:r w:rsidRPr="00F6132B">
          <w:rPr>
            <w:sz w:val="20"/>
            <w:szCs w:val="20"/>
          </w:rPr>
          <w:fldChar w:fldCharType="begin"/>
        </w:r>
        <w:r w:rsidRPr="00F6132B">
          <w:rPr>
            <w:sz w:val="20"/>
            <w:szCs w:val="20"/>
          </w:rPr>
          <w:instrText xml:space="preserve"> PAGE   \* MERGEFORMAT </w:instrText>
        </w:r>
        <w:r w:rsidRPr="00F6132B">
          <w:rPr>
            <w:sz w:val="20"/>
            <w:szCs w:val="20"/>
          </w:rPr>
          <w:fldChar w:fldCharType="separate"/>
        </w:r>
        <w:r w:rsidRPr="00F6132B">
          <w:rPr>
            <w:noProof/>
            <w:sz w:val="20"/>
            <w:szCs w:val="20"/>
          </w:rPr>
          <w:t>2</w:t>
        </w:r>
        <w:r w:rsidRPr="00F6132B">
          <w:rPr>
            <w:noProof/>
            <w:sz w:val="20"/>
            <w:szCs w:val="20"/>
          </w:rPr>
          <w:fldChar w:fldCharType="end"/>
        </w:r>
      </w:p>
    </w:sdtContent>
  </w:sdt>
  <w:p w14:paraId="6DFFB549" w14:textId="77777777" w:rsidR="009C7009" w:rsidRDefault="009C7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89D2" w14:textId="77777777" w:rsidR="00850910" w:rsidRDefault="001D66A0" w:rsidP="00A906E9">
    <w:pPr>
      <w:pStyle w:val="Footer"/>
    </w:pPr>
    <w:r>
      <w:rPr>
        <w:noProof/>
        <w:lang w:eastAsia="en-GB"/>
      </w:rPr>
      <w:drawing>
        <wp:anchor distT="0" distB="0" distL="114300" distR="114300" simplePos="0" relativeHeight="251660288" behindDoc="0" locked="0" layoutInCell="1" allowOverlap="0" wp14:anchorId="5F1789D5" wp14:editId="675E03B6">
          <wp:simplePos x="0" y="0"/>
          <wp:positionH relativeFrom="column">
            <wp:posOffset>3662045</wp:posOffset>
          </wp:positionH>
          <wp:positionV relativeFrom="paragraph">
            <wp:posOffset>-353060</wp:posOffset>
          </wp:positionV>
          <wp:extent cx="2502226" cy="605790"/>
          <wp:effectExtent l="0" t="0" r="0" b="3810"/>
          <wp:wrapNone/>
          <wp:docPr id="3" name="Picture 3" descr="P:\!Resources\Templates\Stationery Suite\Letterhead\FED_MSWord_Letterhea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ources\Templates\Stationery Suite\Letterhead\FED_MSWord_Letterhead_Foot.png"/>
                  <pic:cNvPicPr>
                    <a:picLocks noChangeAspect="1" noChangeArrowheads="1"/>
                  </pic:cNvPicPr>
                </pic:nvPicPr>
                <pic:blipFill rotWithShape="1">
                  <a:blip r:embed="rId1"/>
                  <a:srcRect l="61577"/>
                  <a:stretch/>
                </pic:blipFill>
                <pic:spPr bwMode="auto">
                  <a:xfrm>
                    <a:off x="0" y="0"/>
                    <a:ext cx="2503321" cy="606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6280" w14:textId="77777777" w:rsidR="00FC1C08" w:rsidRDefault="00FC1C08" w:rsidP="00A906E9">
      <w:r>
        <w:separator/>
      </w:r>
    </w:p>
  </w:footnote>
  <w:footnote w:type="continuationSeparator" w:id="0">
    <w:p w14:paraId="07B86EC2" w14:textId="77777777" w:rsidR="00FC1C08" w:rsidRDefault="00FC1C08" w:rsidP="00A906E9">
      <w:r>
        <w:continuationSeparator/>
      </w:r>
    </w:p>
  </w:footnote>
  <w:footnote w:id="1">
    <w:p w14:paraId="583C21F9" w14:textId="77777777" w:rsidR="002D72FF" w:rsidRDefault="002D72FF" w:rsidP="002D72FF">
      <w:pPr>
        <w:pStyle w:val="FootnoteText"/>
      </w:pPr>
      <w:r>
        <w:rPr>
          <w:rStyle w:val="FootnoteReference"/>
        </w:rPr>
        <w:footnoteRef/>
      </w:r>
      <w:r>
        <w:t xml:space="preserve"> IPPF Client-Centred Clinical Guidelines, </w:t>
      </w:r>
      <w:r w:rsidRPr="001732A1">
        <w:rPr>
          <w:u w:val="single"/>
        </w:rPr>
        <w:t>https://www.ippf.org/cccg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89D1" w14:textId="77777777" w:rsidR="00850910" w:rsidRDefault="00850910" w:rsidP="00C65901">
    <w:pPr>
      <w:pStyle w:val="Header"/>
      <w:ind w:hanging="851"/>
    </w:pPr>
    <w:r>
      <w:rPr>
        <w:noProof/>
        <w:lang w:eastAsia="en-GB"/>
      </w:rPr>
      <w:drawing>
        <wp:inline distT="0" distB="0" distL="0" distR="0" wp14:anchorId="5F1789D3" wp14:editId="26222DE0">
          <wp:extent cx="6680835" cy="633856"/>
          <wp:effectExtent l="25400" t="0" r="0" b="0"/>
          <wp:docPr id="1" name="Picture 1" descr="FED_LetterheadPlain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_LetterheadPlain_Head"/>
                  <pic:cNvPicPr>
                    <a:picLocks noChangeAspect="1" noChangeArrowheads="1"/>
                  </pic:cNvPicPr>
                </pic:nvPicPr>
                <pic:blipFill>
                  <a:blip r:embed="rId1"/>
                  <a:stretch>
                    <a:fillRect/>
                  </a:stretch>
                </pic:blipFill>
                <pic:spPr bwMode="auto">
                  <a:xfrm>
                    <a:off x="0" y="0"/>
                    <a:ext cx="6680835" cy="6338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8857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78379"/>
    <w:multiLevelType w:val="hybridMultilevel"/>
    <w:tmpl w:val="A1A493A2"/>
    <w:lvl w:ilvl="0" w:tplc="5A48D0B8">
      <w:start w:val="1"/>
      <w:numFmt w:val="bullet"/>
      <w:lvlText w:val="·"/>
      <w:lvlJc w:val="left"/>
      <w:pPr>
        <w:ind w:left="720" w:hanging="360"/>
      </w:pPr>
      <w:rPr>
        <w:rFonts w:ascii="Symbol" w:hAnsi="Symbol" w:hint="default"/>
      </w:rPr>
    </w:lvl>
    <w:lvl w:ilvl="1" w:tplc="AF70F28C">
      <w:start w:val="1"/>
      <w:numFmt w:val="bullet"/>
      <w:lvlText w:val="o"/>
      <w:lvlJc w:val="left"/>
      <w:pPr>
        <w:ind w:left="1440" w:hanging="360"/>
      </w:pPr>
      <w:rPr>
        <w:rFonts w:ascii="Courier New" w:hAnsi="Courier New" w:hint="default"/>
      </w:rPr>
    </w:lvl>
    <w:lvl w:ilvl="2" w:tplc="A65A4F70">
      <w:start w:val="1"/>
      <w:numFmt w:val="bullet"/>
      <w:lvlText w:val=""/>
      <w:lvlJc w:val="left"/>
      <w:pPr>
        <w:ind w:left="2160" w:hanging="360"/>
      </w:pPr>
      <w:rPr>
        <w:rFonts w:ascii="Wingdings" w:hAnsi="Wingdings" w:hint="default"/>
      </w:rPr>
    </w:lvl>
    <w:lvl w:ilvl="3" w:tplc="1284D9FC">
      <w:start w:val="1"/>
      <w:numFmt w:val="bullet"/>
      <w:lvlText w:val=""/>
      <w:lvlJc w:val="left"/>
      <w:pPr>
        <w:ind w:left="2880" w:hanging="360"/>
      </w:pPr>
      <w:rPr>
        <w:rFonts w:ascii="Symbol" w:hAnsi="Symbol" w:hint="default"/>
      </w:rPr>
    </w:lvl>
    <w:lvl w:ilvl="4" w:tplc="35F6A32A">
      <w:start w:val="1"/>
      <w:numFmt w:val="bullet"/>
      <w:lvlText w:val="o"/>
      <w:lvlJc w:val="left"/>
      <w:pPr>
        <w:ind w:left="3600" w:hanging="360"/>
      </w:pPr>
      <w:rPr>
        <w:rFonts w:ascii="Courier New" w:hAnsi="Courier New" w:hint="default"/>
      </w:rPr>
    </w:lvl>
    <w:lvl w:ilvl="5" w:tplc="11009658">
      <w:start w:val="1"/>
      <w:numFmt w:val="bullet"/>
      <w:lvlText w:val=""/>
      <w:lvlJc w:val="left"/>
      <w:pPr>
        <w:ind w:left="4320" w:hanging="360"/>
      </w:pPr>
      <w:rPr>
        <w:rFonts w:ascii="Wingdings" w:hAnsi="Wingdings" w:hint="default"/>
      </w:rPr>
    </w:lvl>
    <w:lvl w:ilvl="6" w:tplc="2C5AF668">
      <w:start w:val="1"/>
      <w:numFmt w:val="bullet"/>
      <w:lvlText w:val=""/>
      <w:lvlJc w:val="left"/>
      <w:pPr>
        <w:ind w:left="5040" w:hanging="360"/>
      </w:pPr>
      <w:rPr>
        <w:rFonts w:ascii="Symbol" w:hAnsi="Symbol" w:hint="default"/>
      </w:rPr>
    </w:lvl>
    <w:lvl w:ilvl="7" w:tplc="9A8444E6">
      <w:start w:val="1"/>
      <w:numFmt w:val="bullet"/>
      <w:lvlText w:val="o"/>
      <w:lvlJc w:val="left"/>
      <w:pPr>
        <w:ind w:left="5760" w:hanging="360"/>
      </w:pPr>
      <w:rPr>
        <w:rFonts w:ascii="Courier New" w:hAnsi="Courier New" w:hint="default"/>
      </w:rPr>
    </w:lvl>
    <w:lvl w:ilvl="8" w:tplc="BA48F6C0">
      <w:start w:val="1"/>
      <w:numFmt w:val="bullet"/>
      <w:lvlText w:val=""/>
      <w:lvlJc w:val="left"/>
      <w:pPr>
        <w:ind w:left="6480" w:hanging="360"/>
      </w:pPr>
      <w:rPr>
        <w:rFonts w:ascii="Wingdings" w:hAnsi="Wingdings" w:hint="default"/>
      </w:rPr>
    </w:lvl>
  </w:abstractNum>
  <w:abstractNum w:abstractNumId="2" w15:restartNumberingAfterBreak="0">
    <w:nsid w:val="138763EE"/>
    <w:multiLevelType w:val="hybridMultilevel"/>
    <w:tmpl w:val="D70469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6B2267"/>
    <w:multiLevelType w:val="hybridMultilevel"/>
    <w:tmpl w:val="15580E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720634"/>
    <w:multiLevelType w:val="hybridMultilevel"/>
    <w:tmpl w:val="8EFA9CAC"/>
    <w:lvl w:ilvl="0" w:tplc="0B9EEE12">
      <w:start w:val="1"/>
      <w:numFmt w:val="bullet"/>
      <w:lvlText w:val="·"/>
      <w:lvlJc w:val="left"/>
      <w:pPr>
        <w:ind w:left="720" w:hanging="360"/>
      </w:pPr>
      <w:rPr>
        <w:rFonts w:ascii="Symbol" w:hAnsi="Symbol" w:hint="default"/>
      </w:rPr>
    </w:lvl>
    <w:lvl w:ilvl="1" w:tplc="BF5EFB06">
      <w:start w:val="1"/>
      <w:numFmt w:val="bullet"/>
      <w:lvlText w:val="o"/>
      <w:lvlJc w:val="left"/>
      <w:pPr>
        <w:ind w:left="1440" w:hanging="360"/>
      </w:pPr>
      <w:rPr>
        <w:rFonts w:ascii="Courier New" w:hAnsi="Courier New" w:hint="default"/>
      </w:rPr>
    </w:lvl>
    <w:lvl w:ilvl="2" w:tplc="D0644412">
      <w:start w:val="1"/>
      <w:numFmt w:val="bullet"/>
      <w:lvlText w:val=""/>
      <w:lvlJc w:val="left"/>
      <w:pPr>
        <w:ind w:left="2160" w:hanging="360"/>
      </w:pPr>
      <w:rPr>
        <w:rFonts w:ascii="Wingdings" w:hAnsi="Wingdings" w:hint="default"/>
      </w:rPr>
    </w:lvl>
    <w:lvl w:ilvl="3" w:tplc="B4B8725C">
      <w:start w:val="1"/>
      <w:numFmt w:val="bullet"/>
      <w:lvlText w:val=""/>
      <w:lvlJc w:val="left"/>
      <w:pPr>
        <w:ind w:left="2880" w:hanging="360"/>
      </w:pPr>
      <w:rPr>
        <w:rFonts w:ascii="Symbol" w:hAnsi="Symbol" w:hint="default"/>
      </w:rPr>
    </w:lvl>
    <w:lvl w:ilvl="4" w:tplc="C26AD740">
      <w:start w:val="1"/>
      <w:numFmt w:val="bullet"/>
      <w:lvlText w:val="o"/>
      <w:lvlJc w:val="left"/>
      <w:pPr>
        <w:ind w:left="3600" w:hanging="360"/>
      </w:pPr>
      <w:rPr>
        <w:rFonts w:ascii="Courier New" w:hAnsi="Courier New" w:hint="default"/>
      </w:rPr>
    </w:lvl>
    <w:lvl w:ilvl="5" w:tplc="3A5C452A">
      <w:start w:val="1"/>
      <w:numFmt w:val="bullet"/>
      <w:lvlText w:val=""/>
      <w:lvlJc w:val="left"/>
      <w:pPr>
        <w:ind w:left="4320" w:hanging="360"/>
      </w:pPr>
      <w:rPr>
        <w:rFonts w:ascii="Wingdings" w:hAnsi="Wingdings" w:hint="default"/>
      </w:rPr>
    </w:lvl>
    <w:lvl w:ilvl="6" w:tplc="D006176C">
      <w:start w:val="1"/>
      <w:numFmt w:val="bullet"/>
      <w:lvlText w:val=""/>
      <w:lvlJc w:val="left"/>
      <w:pPr>
        <w:ind w:left="5040" w:hanging="360"/>
      </w:pPr>
      <w:rPr>
        <w:rFonts w:ascii="Symbol" w:hAnsi="Symbol" w:hint="default"/>
      </w:rPr>
    </w:lvl>
    <w:lvl w:ilvl="7" w:tplc="EA44BEB4">
      <w:start w:val="1"/>
      <w:numFmt w:val="bullet"/>
      <w:lvlText w:val="o"/>
      <w:lvlJc w:val="left"/>
      <w:pPr>
        <w:ind w:left="5760" w:hanging="360"/>
      </w:pPr>
      <w:rPr>
        <w:rFonts w:ascii="Courier New" w:hAnsi="Courier New" w:hint="default"/>
      </w:rPr>
    </w:lvl>
    <w:lvl w:ilvl="8" w:tplc="B3320570">
      <w:start w:val="1"/>
      <w:numFmt w:val="bullet"/>
      <w:lvlText w:val=""/>
      <w:lvlJc w:val="left"/>
      <w:pPr>
        <w:ind w:left="6480" w:hanging="360"/>
      </w:pPr>
      <w:rPr>
        <w:rFonts w:ascii="Wingdings" w:hAnsi="Wingdings" w:hint="default"/>
      </w:rPr>
    </w:lvl>
  </w:abstractNum>
  <w:abstractNum w:abstractNumId="5" w15:restartNumberingAfterBreak="0">
    <w:nsid w:val="305822C4"/>
    <w:multiLevelType w:val="hybridMultilevel"/>
    <w:tmpl w:val="FC804B76"/>
    <w:lvl w:ilvl="0" w:tplc="5972EA1A">
      <w:start w:val="1"/>
      <w:numFmt w:val="bullet"/>
      <w:lvlText w:val="·"/>
      <w:lvlJc w:val="left"/>
      <w:pPr>
        <w:ind w:left="720" w:hanging="360"/>
      </w:pPr>
      <w:rPr>
        <w:rFonts w:ascii="Symbol" w:hAnsi="Symbol" w:hint="default"/>
      </w:rPr>
    </w:lvl>
    <w:lvl w:ilvl="1" w:tplc="921CE2B8">
      <w:start w:val="1"/>
      <w:numFmt w:val="bullet"/>
      <w:lvlText w:val="o"/>
      <w:lvlJc w:val="left"/>
      <w:pPr>
        <w:ind w:left="1440" w:hanging="360"/>
      </w:pPr>
      <w:rPr>
        <w:rFonts w:ascii="Courier New" w:hAnsi="Courier New" w:hint="default"/>
      </w:rPr>
    </w:lvl>
    <w:lvl w:ilvl="2" w:tplc="2E642EA0">
      <w:start w:val="1"/>
      <w:numFmt w:val="bullet"/>
      <w:lvlText w:val=""/>
      <w:lvlJc w:val="left"/>
      <w:pPr>
        <w:ind w:left="2160" w:hanging="360"/>
      </w:pPr>
      <w:rPr>
        <w:rFonts w:ascii="Wingdings" w:hAnsi="Wingdings" w:hint="default"/>
      </w:rPr>
    </w:lvl>
    <w:lvl w:ilvl="3" w:tplc="30CA2E0A">
      <w:start w:val="1"/>
      <w:numFmt w:val="bullet"/>
      <w:lvlText w:val=""/>
      <w:lvlJc w:val="left"/>
      <w:pPr>
        <w:ind w:left="2880" w:hanging="360"/>
      </w:pPr>
      <w:rPr>
        <w:rFonts w:ascii="Symbol" w:hAnsi="Symbol" w:hint="default"/>
      </w:rPr>
    </w:lvl>
    <w:lvl w:ilvl="4" w:tplc="AC468848">
      <w:start w:val="1"/>
      <w:numFmt w:val="bullet"/>
      <w:lvlText w:val="o"/>
      <w:lvlJc w:val="left"/>
      <w:pPr>
        <w:ind w:left="3600" w:hanging="360"/>
      </w:pPr>
      <w:rPr>
        <w:rFonts w:ascii="Courier New" w:hAnsi="Courier New" w:hint="default"/>
      </w:rPr>
    </w:lvl>
    <w:lvl w:ilvl="5" w:tplc="91FE35E6">
      <w:start w:val="1"/>
      <w:numFmt w:val="bullet"/>
      <w:lvlText w:val=""/>
      <w:lvlJc w:val="left"/>
      <w:pPr>
        <w:ind w:left="4320" w:hanging="360"/>
      </w:pPr>
      <w:rPr>
        <w:rFonts w:ascii="Wingdings" w:hAnsi="Wingdings" w:hint="default"/>
      </w:rPr>
    </w:lvl>
    <w:lvl w:ilvl="6" w:tplc="39689A48">
      <w:start w:val="1"/>
      <w:numFmt w:val="bullet"/>
      <w:lvlText w:val=""/>
      <w:lvlJc w:val="left"/>
      <w:pPr>
        <w:ind w:left="5040" w:hanging="360"/>
      </w:pPr>
      <w:rPr>
        <w:rFonts w:ascii="Symbol" w:hAnsi="Symbol" w:hint="default"/>
      </w:rPr>
    </w:lvl>
    <w:lvl w:ilvl="7" w:tplc="6C7C3934">
      <w:start w:val="1"/>
      <w:numFmt w:val="bullet"/>
      <w:lvlText w:val="o"/>
      <w:lvlJc w:val="left"/>
      <w:pPr>
        <w:ind w:left="5760" w:hanging="360"/>
      </w:pPr>
      <w:rPr>
        <w:rFonts w:ascii="Courier New" w:hAnsi="Courier New" w:hint="default"/>
      </w:rPr>
    </w:lvl>
    <w:lvl w:ilvl="8" w:tplc="FC3059B4">
      <w:start w:val="1"/>
      <w:numFmt w:val="bullet"/>
      <w:lvlText w:val=""/>
      <w:lvlJc w:val="left"/>
      <w:pPr>
        <w:ind w:left="6480" w:hanging="360"/>
      </w:pPr>
      <w:rPr>
        <w:rFonts w:ascii="Wingdings" w:hAnsi="Wingdings" w:hint="default"/>
      </w:rPr>
    </w:lvl>
  </w:abstractNum>
  <w:abstractNum w:abstractNumId="6" w15:restartNumberingAfterBreak="0">
    <w:nsid w:val="421DD9A3"/>
    <w:multiLevelType w:val="hybridMultilevel"/>
    <w:tmpl w:val="9FFAC996"/>
    <w:lvl w:ilvl="0" w:tplc="2C4268F8">
      <w:start w:val="1"/>
      <w:numFmt w:val="bullet"/>
      <w:lvlText w:val="·"/>
      <w:lvlJc w:val="left"/>
      <w:pPr>
        <w:ind w:left="720" w:hanging="360"/>
      </w:pPr>
      <w:rPr>
        <w:rFonts w:ascii="Symbol" w:hAnsi="Symbol" w:hint="default"/>
      </w:rPr>
    </w:lvl>
    <w:lvl w:ilvl="1" w:tplc="8196F0AC">
      <w:start w:val="1"/>
      <w:numFmt w:val="bullet"/>
      <w:lvlText w:val="o"/>
      <w:lvlJc w:val="left"/>
      <w:pPr>
        <w:ind w:left="1440" w:hanging="360"/>
      </w:pPr>
      <w:rPr>
        <w:rFonts w:ascii="Courier New" w:hAnsi="Courier New" w:hint="default"/>
      </w:rPr>
    </w:lvl>
    <w:lvl w:ilvl="2" w:tplc="ACBE70BA">
      <w:start w:val="1"/>
      <w:numFmt w:val="bullet"/>
      <w:lvlText w:val=""/>
      <w:lvlJc w:val="left"/>
      <w:pPr>
        <w:ind w:left="2160" w:hanging="360"/>
      </w:pPr>
      <w:rPr>
        <w:rFonts w:ascii="Wingdings" w:hAnsi="Wingdings" w:hint="default"/>
      </w:rPr>
    </w:lvl>
    <w:lvl w:ilvl="3" w:tplc="FAFAF3A2">
      <w:start w:val="1"/>
      <w:numFmt w:val="bullet"/>
      <w:lvlText w:val=""/>
      <w:lvlJc w:val="left"/>
      <w:pPr>
        <w:ind w:left="2880" w:hanging="360"/>
      </w:pPr>
      <w:rPr>
        <w:rFonts w:ascii="Symbol" w:hAnsi="Symbol" w:hint="default"/>
      </w:rPr>
    </w:lvl>
    <w:lvl w:ilvl="4" w:tplc="1BE468C4">
      <w:start w:val="1"/>
      <w:numFmt w:val="bullet"/>
      <w:lvlText w:val="o"/>
      <w:lvlJc w:val="left"/>
      <w:pPr>
        <w:ind w:left="3600" w:hanging="360"/>
      </w:pPr>
      <w:rPr>
        <w:rFonts w:ascii="Courier New" w:hAnsi="Courier New" w:hint="default"/>
      </w:rPr>
    </w:lvl>
    <w:lvl w:ilvl="5" w:tplc="993C3434">
      <w:start w:val="1"/>
      <w:numFmt w:val="bullet"/>
      <w:lvlText w:val=""/>
      <w:lvlJc w:val="left"/>
      <w:pPr>
        <w:ind w:left="4320" w:hanging="360"/>
      </w:pPr>
      <w:rPr>
        <w:rFonts w:ascii="Wingdings" w:hAnsi="Wingdings" w:hint="default"/>
      </w:rPr>
    </w:lvl>
    <w:lvl w:ilvl="6" w:tplc="089486AC">
      <w:start w:val="1"/>
      <w:numFmt w:val="bullet"/>
      <w:lvlText w:val=""/>
      <w:lvlJc w:val="left"/>
      <w:pPr>
        <w:ind w:left="5040" w:hanging="360"/>
      </w:pPr>
      <w:rPr>
        <w:rFonts w:ascii="Symbol" w:hAnsi="Symbol" w:hint="default"/>
      </w:rPr>
    </w:lvl>
    <w:lvl w:ilvl="7" w:tplc="1E24B69E">
      <w:start w:val="1"/>
      <w:numFmt w:val="bullet"/>
      <w:lvlText w:val="o"/>
      <w:lvlJc w:val="left"/>
      <w:pPr>
        <w:ind w:left="5760" w:hanging="360"/>
      </w:pPr>
      <w:rPr>
        <w:rFonts w:ascii="Courier New" w:hAnsi="Courier New" w:hint="default"/>
      </w:rPr>
    </w:lvl>
    <w:lvl w:ilvl="8" w:tplc="550ADDBC">
      <w:start w:val="1"/>
      <w:numFmt w:val="bullet"/>
      <w:lvlText w:val=""/>
      <w:lvlJc w:val="left"/>
      <w:pPr>
        <w:ind w:left="6480" w:hanging="360"/>
      </w:pPr>
      <w:rPr>
        <w:rFonts w:ascii="Wingdings" w:hAnsi="Wingdings" w:hint="default"/>
      </w:rPr>
    </w:lvl>
  </w:abstractNum>
  <w:abstractNum w:abstractNumId="7" w15:restartNumberingAfterBreak="0">
    <w:nsid w:val="439C0A15"/>
    <w:multiLevelType w:val="hybridMultilevel"/>
    <w:tmpl w:val="0200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17767"/>
    <w:multiLevelType w:val="hybridMultilevel"/>
    <w:tmpl w:val="F364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2DAB2"/>
    <w:multiLevelType w:val="hybridMultilevel"/>
    <w:tmpl w:val="16E6EA2A"/>
    <w:lvl w:ilvl="0" w:tplc="F2CE9204">
      <w:start w:val="1"/>
      <w:numFmt w:val="bullet"/>
      <w:lvlText w:val="o"/>
      <w:lvlJc w:val="left"/>
      <w:pPr>
        <w:ind w:left="720" w:hanging="360"/>
      </w:pPr>
      <w:rPr>
        <w:rFonts w:ascii="&quot;Courier New&quot;" w:hAnsi="&quot;Courier New&quot;" w:hint="default"/>
      </w:rPr>
    </w:lvl>
    <w:lvl w:ilvl="1" w:tplc="2E72571A">
      <w:start w:val="1"/>
      <w:numFmt w:val="bullet"/>
      <w:lvlText w:val="o"/>
      <w:lvlJc w:val="left"/>
      <w:pPr>
        <w:ind w:left="1440" w:hanging="360"/>
      </w:pPr>
      <w:rPr>
        <w:rFonts w:ascii="Courier New" w:hAnsi="Courier New" w:hint="default"/>
      </w:rPr>
    </w:lvl>
    <w:lvl w:ilvl="2" w:tplc="DE9E0100">
      <w:start w:val="1"/>
      <w:numFmt w:val="bullet"/>
      <w:lvlText w:val=""/>
      <w:lvlJc w:val="left"/>
      <w:pPr>
        <w:ind w:left="2160" w:hanging="360"/>
      </w:pPr>
      <w:rPr>
        <w:rFonts w:ascii="Wingdings" w:hAnsi="Wingdings" w:hint="default"/>
      </w:rPr>
    </w:lvl>
    <w:lvl w:ilvl="3" w:tplc="BCE097B6">
      <w:start w:val="1"/>
      <w:numFmt w:val="bullet"/>
      <w:lvlText w:val=""/>
      <w:lvlJc w:val="left"/>
      <w:pPr>
        <w:ind w:left="2880" w:hanging="360"/>
      </w:pPr>
      <w:rPr>
        <w:rFonts w:ascii="Symbol" w:hAnsi="Symbol" w:hint="default"/>
      </w:rPr>
    </w:lvl>
    <w:lvl w:ilvl="4" w:tplc="9014C342">
      <w:start w:val="1"/>
      <w:numFmt w:val="bullet"/>
      <w:lvlText w:val="o"/>
      <w:lvlJc w:val="left"/>
      <w:pPr>
        <w:ind w:left="3600" w:hanging="360"/>
      </w:pPr>
      <w:rPr>
        <w:rFonts w:ascii="Courier New" w:hAnsi="Courier New" w:hint="default"/>
      </w:rPr>
    </w:lvl>
    <w:lvl w:ilvl="5" w:tplc="41C0F5EA">
      <w:start w:val="1"/>
      <w:numFmt w:val="bullet"/>
      <w:lvlText w:val=""/>
      <w:lvlJc w:val="left"/>
      <w:pPr>
        <w:ind w:left="4320" w:hanging="360"/>
      </w:pPr>
      <w:rPr>
        <w:rFonts w:ascii="Wingdings" w:hAnsi="Wingdings" w:hint="default"/>
      </w:rPr>
    </w:lvl>
    <w:lvl w:ilvl="6" w:tplc="A948A80C">
      <w:start w:val="1"/>
      <w:numFmt w:val="bullet"/>
      <w:lvlText w:val=""/>
      <w:lvlJc w:val="left"/>
      <w:pPr>
        <w:ind w:left="5040" w:hanging="360"/>
      </w:pPr>
      <w:rPr>
        <w:rFonts w:ascii="Symbol" w:hAnsi="Symbol" w:hint="default"/>
      </w:rPr>
    </w:lvl>
    <w:lvl w:ilvl="7" w:tplc="6EAAE520">
      <w:start w:val="1"/>
      <w:numFmt w:val="bullet"/>
      <w:lvlText w:val="o"/>
      <w:lvlJc w:val="left"/>
      <w:pPr>
        <w:ind w:left="5760" w:hanging="360"/>
      </w:pPr>
      <w:rPr>
        <w:rFonts w:ascii="Courier New" w:hAnsi="Courier New" w:hint="default"/>
      </w:rPr>
    </w:lvl>
    <w:lvl w:ilvl="8" w:tplc="8EAE3A28">
      <w:start w:val="1"/>
      <w:numFmt w:val="bullet"/>
      <w:lvlText w:val=""/>
      <w:lvlJc w:val="left"/>
      <w:pPr>
        <w:ind w:left="6480" w:hanging="360"/>
      </w:pPr>
      <w:rPr>
        <w:rFonts w:ascii="Wingdings" w:hAnsi="Wingdings" w:hint="default"/>
      </w:rPr>
    </w:lvl>
  </w:abstractNum>
  <w:abstractNum w:abstractNumId="10" w15:restartNumberingAfterBreak="0">
    <w:nsid w:val="587D01B6"/>
    <w:multiLevelType w:val="hybridMultilevel"/>
    <w:tmpl w:val="D7EE3F6C"/>
    <w:lvl w:ilvl="0" w:tplc="A5AEA526">
      <w:start w:val="1"/>
      <w:numFmt w:val="bullet"/>
      <w:lvlText w:val="·"/>
      <w:lvlJc w:val="left"/>
      <w:pPr>
        <w:ind w:left="720" w:hanging="360"/>
      </w:pPr>
      <w:rPr>
        <w:rFonts w:ascii="Symbol" w:hAnsi="Symbol" w:hint="default"/>
      </w:rPr>
    </w:lvl>
    <w:lvl w:ilvl="1" w:tplc="26F60786">
      <w:start w:val="1"/>
      <w:numFmt w:val="bullet"/>
      <w:lvlText w:val="o"/>
      <w:lvlJc w:val="left"/>
      <w:pPr>
        <w:ind w:left="1440" w:hanging="360"/>
      </w:pPr>
      <w:rPr>
        <w:rFonts w:ascii="Courier New" w:hAnsi="Courier New" w:hint="default"/>
      </w:rPr>
    </w:lvl>
    <w:lvl w:ilvl="2" w:tplc="DC7E77FE">
      <w:start w:val="1"/>
      <w:numFmt w:val="bullet"/>
      <w:lvlText w:val=""/>
      <w:lvlJc w:val="left"/>
      <w:pPr>
        <w:ind w:left="2160" w:hanging="360"/>
      </w:pPr>
      <w:rPr>
        <w:rFonts w:ascii="Wingdings" w:hAnsi="Wingdings" w:hint="default"/>
      </w:rPr>
    </w:lvl>
    <w:lvl w:ilvl="3" w:tplc="C42C3CF4">
      <w:start w:val="1"/>
      <w:numFmt w:val="bullet"/>
      <w:lvlText w:val=""/>
      <w:lvlJc w:val="left"/>
      <w:pPr>
        <w:ind w:left="2880" w:hanging="360"/>
      </w:pPr>
      <w:rPr>
        <w:rFonts w:ascii="Symbol" w:hAnsi="Symbol" w:hint="default"/>
      </w:rPr>
    </w:lvl>
    <w:lvl w:ilvl="4" w:tplc="E1A626E0">
      <w:start w:val="1"/>
      <w:numFmt w:val="bullet"/>
      <w:lvlText w:val="o"/>
      <w:lvlJc w:val="left"/>
      <w:pPr>
        <w:ind w:left="3600" w:hanging="360"/>
      </w:pPr>
      <w:rPr>
        <w:rFonts w:ascii="Courier New" w:hAnsi="Courier New" w:hint="default"/>
      </w:rPr>
    </w:lvl>
    <w:lvl w:ilvl="5" w:tplc="DD000CA2">
      <w:start w:val="1"/>
      <w:numFmt w:val="bullet"/>
      <w:lvlText w:val=""/>
      <w:lvlJc w:val="left"/>
      <w:pPr>
        <w:ind w:left="4320" w:hanging="360"/>
      </w:pPr>
      <w:rPr>
        <w:rFonts w:ascii="Wingdings" w:hAnsi="Wingdings" w:hint="default"/>
      </w:rPr>
    </w:lvl>
    <w:lvl w:ilvl="6" w:tplc="FAD8F418">
      <w:start w:val="1"/>
      <w:numFmt w:val="bullet"/>
      <w:lvlText w:val=""/>
      <w:lvlJc w:val="left"/>
      <w:pPr>
        <w:ind w:left="5040" w:hanging="360"/>
      </w:pPr>
      <w:rPr>
        <w:rFonts w:ascii="Symbol" w:hAnsi="Symbol" w:hint="default"/>
      </w:rPr>
    </w:lvl>
    <w:lvl w:ilvl="7" w:tplc="C4404E2E">
      <w:start w:val="1"/>
      <w:numFmt w:val="bullet"/>
      <w:lvlText w:val="o"/>
      <w:lvlJc w:val="left"/>
      <w:pPr>
        <w:ind w:left="5760" w:hanging="360"/>
      </w:pPr>
      <w:rPr>
        <w:rFonts w:ascii="Courier New" w:hAnsi="Courier New" w:hint="default"/>
      </w:rPr>
    </w:lvl>
    <w:lvl w:ilvl="8" w:tplc="8A901A1C">
      <w:start w:val="1"/>
      <w:numFmt w:val="bullet"/>
      <w:lvlText w:val=""/>
      <w:lvlJc w:val="left"/>
      <w:pPr>
        <w:ind w:left="6480" w:hanging="360"/>
      </w:pPr>
      <w:rPr>
        <w:rFonts w:ascii="Wingdings" w:hAnsi="Wingdings" w:hint="default"/>
      </w:rPr>
    </w:lvl>
  </w:abstractNum>
  <w:abstractNum w:abstractNumId="11" w15:restartNumberingAfterBreak="0">
    <w:nsid w:val="5E3D0DAC"/>
    <w:multiLevelType w:val="hybridMultilevel"/>
    <w:tmpl w:val="C11E487E"/>
    <w:lvl w:ilvl="0" w:tplc="708051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E63463E"/>
    <w:multiLevelType w:val="hybridMultilevel"/>
    <w:tmpl w:val="04045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FE3B34"/>
    <w:multiLevelType w:val="hybridMultilevel"/>
    <w:tmpl w:val="152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63930"/>
    <w:multiLevelType w:val="hybridMultilevel"/>
    <w:tmpl w:val="43C4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E1667"/>
    <w:multiLevelType w:val="hybridMultilevel"/>
    <w:tmpl w:val="7E4A639C"/>
    <w:lvl w:ilvl="0" w:tplc="F5FC80A8">
      <w:start w:val="1"/>
      <w:numFmt w:val="bullet"/>
      <w:lvlText w:val="·"/>
      <w:lvlJc w:val="left"/>
      <w:pPr>
        <w:ind w:left="720" w:hanging="360"/>
      </w:pPr>
      <w:rPr>
        <w:rFonts w:ascii="Symbol" w:hAnsi="Symbol" w:hint="default"/>
      </w:rPr>
    </w:lvl>
    <w:lvl w:ilvl="1" w:tplc="29D8A1D4">
      <w:start w:val="1"/>
      <w:numFmt w:val="bullet"/>
      <w:lvlText w:val="o"/>
      <w:lvlJc w:val="left"/>
      <w:pPr>
        <w:ind w:left="1440" w:hanging="360"/>
      </w:pPr>
      <w:rPr>
        <w:rFonts w:ascii="Courier New" w:hAnsi="Courier New" w:hint="default"/>
      </w:rPr>
    </w:lvl>
    <w:lvl w:ilvl="2" w:tplc="AFA00AFA">
      <w:start w:val="1"/>
      <w:numFmt w:val="bullet"/>
      <w:lvlText w:val=""/>
      <w:lvlJc w:val="left"/>
      <w:pPr>
        <w:ind w:left="2160" w:hanging="360"/>
      </w:pPr>
      <w:rPr>
        <w:rFonts w:ascii="Wingdings" w:hAnsi="Wingdings" w:hint="default"/>
      </w:rPr>
    </w:lvl>
    <w:lvl w:ilvl="3" w:tplc="7946CE6E">
      <w:start w:val="1"/>
      <w:numFmt w:val="bullet"/>
      <w:lvlText w:val=""/>
      <w:lvlJc w:val="left"/>
      <w:pPr>
        <w:ind w:left="2880" w:hanging="360"/>
      </w:pPr>
      <w:rPr>
        <w:rFonts w:ascii="Symbol" w:hAnsi="Symbol" w:hint="default"/>
      </w:rPr>
    </w:lvl>
    <w:lvl w:ilvl="4" w:tplc="05DABA56">
      <w:start w:val="1"/>
      <w:numFmt w:val="bullet"/>
      <w:lvlText w:val="o"/>
      <w:lvlJc w:val="left"/>
      <w:pPr>
        <w:ind w:left="3600" w:hanging="360"/>
      </w:pPr>
      <w:rPr>
        <w:rFonts w:ascii="Courier New" w:hAnsi="Courier New" w:hint="default"/>
      </w:rPr>
    </w:lvl>
    <w:lvl w:ilvl="5" w:tplc="19264734">
      <w:start w:val="1"/>
      <w:numFmt w:val="bullet"/>
      <w:lvlText w:val=""/>
      <w:lvlJc w:val="left"/>
      <w:pPr>
        <w:ind w:left="4320" w:hanging="360"/>
      </w:pPr>
      <w:rPr>
        <w:rFonts w:ascii="Wingdings" w:hAnsi="Wingdings" w:hint="default"/>
      </w:rPr>
    </w:lvl>
    <w:lvl w:ilvl="6" w:tplc="25883914">
      <w:start w:val="1"/>
      <w:numFmt w:val="bullet"/>
      <w:lvlText w:val=""/>
      <w:lvlJc w:val="left"/>
      <w:pPr>
        <w:ind w:left="5040" w:hanging="360"/>
      </w:pPr>
      <w:rPr>
        <w:rFonts w:ascii="Symbol" w:hAnsi="Symbol" w:hint="default"/>
      </w:rPr>
    </w:lvl>
    <w:lvl w:ilvl="7" w:tplc="24E4B106">
      <w:start w:val="1"/>
      <w:numFmt w:val="bullet"/>
      <w:lvlText w:val="o"/>
      <w:lvlJc w:val="left"/>
      <w:pPr>
        <w:ind w:left="5760" w:hanging="360"/>
      </w:pPr>
      <w:rPr>
        <w:rFonts w:ascii="Courier New" w:hAnsi="Courier New" w:hint="default"/>
      </w:rPr>
    </w:lvl>
    <w:lvl w:ilvl="8" w:tplc="D8E6986A">
      <w:start w:val="1"/>
      <w:numFmt w:val="bullet"/>
      <w:lvlText w:val=""/>
      <w:lvlJc w:val="left"/>
      <w:pPr>
        <w:ind w:left="6480" w:hanging="360"/>
      </w:pPr>
      <w:rPr>
        <w:rFonts w:ascii="Wingdings" w:hAnsi="Wingdings" w:hint="default"/>
      </w:rPr>
    </w:lvl>
  </w:abstractNum>
  <w:abstractNum w:abstractNumId="16" w15:restartNumberingAfterBreak="0">
    <w:nsid w:val="6AFA4E5A"/>
    <w:multiLevelType w:val="hybridMultilevel"/>
    <w:tmpl w:val="0BE2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8DC65"/>
    <w:multiLevelType w:val="hybridMultilevel"/>
    <w:tmpl w:val="3ABA5A46"/>
    <w:lvl w:ilvl="0" w:tplc="B43260E2">
      <w:start w:val="1"/>
      <w:numFmt w:val="bullet"/>
      <w:lvlText w:val="·"/>
      <w:lvlJc w:val="left"/>
      <w:pPr>
        <w:ind w:left="720" w:hanging="360"/>
      </w:pPr>
      <w:rPr>
        <w:rFonts w:ascii="Symbol" w:hAnsi="Symbol" w:hint="default"/>
      </w:rPr>
    </w:lvl>
    <w:lvl w:ilvl="1" w:tplc="15607C58">
      <w:start w:val="1"/>
      <w:numFmt w:val="bullet"/>
      <w:lvlText w:val="o"/>
      <w:lvlJc w:val="left"/>
      <w:pPr>
        <w:ind w:left="1440" w:hanging="360"/>
      </w:pPr>
      <w:rPr>
        <w:rFonts w:ascii="Courier New" w:hAnsi="Courier New" w:hint="default"/>
      </w:rPr>
    </w:lvl>
    <w:lvl w:ilvl="2" w:tplc="AEF685E8">
      <w:start w:val="1"/>
      <w:numFmt w:val="bullet"/>
      <w:lvlText w:val=""/>
      <w:lvlJc w:val="left"/>
      <w:pPr>
        <w:ind w:left="2160" w:hanging="360"/>
      </w:pPr>
      <w:rPr>
        <w:rFonts w:ascii="Wingdings" w:hAnsi="Wingdings" w:hint="default"/>
      </w:rPr>
    </w:lvl>
    <w:lvl w:ilvl="3" w:tplc="8C426782">
      <w:start w:val="1"/>
      <w:numFmt w:val="bullet"/>
      <w:lvlText w:val=""/>
      <w:lvlJc w:val="left"/>
      <w:pPr>
        <w:ind w:left="2880" w:hanging="360"/>
      </w:pPr>
      <w:rPr>
        <w:rFonts w:ascii="Symbol" w:hAnsi="Symbol" w:hint="default"/>
      </w:rPr>
    </w:lvl>
    <w:lvl w:ilvl="4" w:tplc="743E0724">
      <w:start w:val="1"/>
      <w:numFmt w:val="bullet"/>
      <w:lvlText w:val="o"/>
      <w:lvlJc w:val="left"/>
      <w:pPr>
        <w:ind w:left="3600" w:hanging="360"/>
      </w:pPr>
      <w:rPr>
        <w:rFonts w:ascii="Courier New" w:hAnsi="Courier New" w:hint="default"/>
      </w:rPr>
    </w:lvl>
    <w:lvl w:ilvl="5" w:tplc="3B00C90A">
      <w:start w:val="1"/>
      <w:numFmt w:val="bullet"/>
      <w:lvlText w:val=""/>
      <w:lvlJc w:val="left"/>
      <w:pPr>
        <w:ind w:left="4320" w:hanging="360"/>
      </w:pPr>
      <w:rPr>
        <w:rFonts w:ascii="Wingdings" w:hAnsi="Wingdings" w:hint="default"/>
      </w:rPr>
    </w:lvl>
    <w:lvl w:ilvl="6" w:tplc="1CB0F82E">
      <w:start w:val="1"/>
      <w:numFmt w:val="bullet"/>
      <w:lvlText w:val=""/>
      <w:lvlJc w:val="left"/>
      <w:pPr>
        <w:ind w:left="5040" w:hanging="360"/>
      </w:pPr>
      <w:rPr>
        <w:rFonts w:ascii="Symbol" w:hAnsi="Symbol" w:hint="default"/>
      </w:rPr>
    </w:lvl>
    <w:lvl w:ilvl="7" w:tplc="C1EE405E">
      <w:start w:val="1"/>
      <w:numFmt w:val="bullet"/>
      <w:lvlText w:val="o"/>
      <w:lvlJc w:val="left"/>
      <w:pPr>
        <w:ind w:left="5760" w:hanging="360"/>
      </w:pPr>
      <w:rPr>
        <w:rFonts w:ascii="Courier New" w:hAnsi="Courier New" w:hint="default"/>
      </w:rPr>
    </w:lvl>
    <w:lvl w:ilvl="8" w:tplc="A7422674">
      <w:start w:val="1"/>
      <w:numFmt w:val="bullet"/>
      <w:lvlText w:val=""/>
      <w:lvlJc w:val="left"/>
      <w:pPr>
        <w:ind w:left="6480" w:hanging="360"/>
      </w:pPr>
      <w:rPr>
        <w:rFonts w:ascii="Wingdings" w:hAnsi="Wingdings" w:hint="default"/>
      </w:rPr>
    </w:lvl>
  </w:abstractNum>
  <w:abstractNum w:abstractNumId="18" w15:restartNumberingAfterBreak="0">
    <w:nsid w:val="708C7DB2"/>
    <w:multiLevelType w:val="hybridMultilevel"/>
    <w:tmpl w:val="7510576C"/>
    <w:lvl w:ilvl="0" w:tplc="A080EE2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5CB410"/>
    <w:multiLevelType w:val="hybridMultilevel"/>
    <w:tmpl w:val="A08EF358"/>
    <w:lvl w:ilvl="0" w:tplc="29B0BDEC">
      <w:start w:val="1"/>
      <w:numFmt w:val="decimal"/>
      <w:lvlText w:val="%1."/>
      <w:lvlJc w:val="left"/>
      <w:pPr>
        <w:ind w:left="360" w:hanging="360"/>
      </w:pPr>
    </w:lvl>
    <w:lvl w:ilvl="1" w:tplc="76EEE986">
      <w:start w:val="1"/>
      <w:numFmt w:val="lowerLetter"/>
      <w:lvlText w:val="%2."/>
      <w:lvlJc w:val="left"/>
      <w:pPr>
        <w:ind w:left="1080" w:hanging="360"/>
      </w:pPr>
    </w:lvl>
    <w:lvl w:ilvl="2" w:tplc="513A7494">
      <w:start w:val="1"/>
      <w:numFmt w:val="lowerRoman"/>
      <w:lvlText w:val="%3."/>
      <w:lvlJc w:val="right"/>
      <w:pPr>
        <w:ind w:left="1800" w:hanging="180"/>
      </w:pPr>
    </w:lvl>
    <w:lvl w:ilvl="3" w:tplc="F4BC8B82">
      <w:start w:val="1"/>
      <w:numFmt w:val="decimal"/>
      <w:lvlText w:val="%4."/>
      <w:lvlJc w:val="left"/>
      <w:pPr>
        <w:ind w:left="2520" w:hanging="360"/>
      </w:pPr>
    </w:lvl>
    <w:lvl w:ilvl="4" w:tplc="A34C3208">
      <w:start w:val="1"/>
      <w:numFmt w:val="lowerLetter"/>
      <w:lvlText w:val="%5."/>
      <w:lvlJc w:val="left"/>
      <w:pPr>
        <w:ind w:left="3240" w:hanging="360"/>
      </w:pPr>
    </w:lvl>
    <w:lvl w:ilvl="5" w:tplc="DA14C0C4">
      <w:start w:val="1"/>
      <w:numFmt w:val="lowerRoman"/>
      <w:lvlText w:val="%6."/>
      <w:lvlJc w:val="right"/>
      <w:pPr>
        <w:ind w:left="3960" w:hanging="180"/>
      </w:pPr>
    </w:lvl>
    <w:lvl w:ilvl="6" w:tplc="B31267AC">
      <w:start w:val="1"/>
      <w:numFmt w:val="decimal"/>
      <w:lvlText w:val="%7."/>
      <w:lvlJc w:val="left"/>
      <w:pPr>
        <w:ind w:left="4680" w:hanging="360"/>
      </w:pPr>
    </w:lvl>
    <w:lvl w:ilvl="7" w:tplc="B598FAFE">
      <w:start w:val="1"/>
      <w:numFmt w:val="lowerLetter"/>
      <w:lvlText w:val="%8."/>
      <w:lvlJc w:val="left"/>
      <w:pPr>
        <w:ind w:left="5400" w:hanging="360"/>
      </w:pPr>
    </w:lvl>
    <w:lvl w:ilvl="8" w:tplc="8670F44E">
      <w:start w:val="1"/>
      <w:numFmt w:val="lowerRoman"/>
      <w:lvlText w:val="%9."/>
      <w:lvlJc w:val="right"/>
      <w:pPr>
        <w:ind w:left="6120" w:hanging="180"/>
      </w:pPr>
    </w:lvl>
  </w:abstractNum>
  <w:num w:numId="1" w16cid:durableId="951941233">
    <w:abstractNumId w:val="3"/>
  </w:num>
  <w:num w:numId="2" w16cid:durableId="1621256504">
    <w:abstractNumId w:val="12"/>
  </w:num>
  <w:num w:numId="3" w16cid:durableId="390009443">
    <w:abstractNumId w:val="6"/>
  </w:num>
  <w:num w:numId="4" w16cid:durableId="273680655">
    <w:abstractNumId w:val="9"/>
  </w:num>
  <w:num w:numId="5" w16cid:durableId="1399982352">
    <w:abstractNumId w:val="10"/>
  </w:num>
  <w:num w:numId="6" w16cid:durableId="245067726">
    <w:abstractNumId w:val="15"/>
  </w:num>
  <w:num w:numId="7" w16cid:durableId="1276398970">
    <w:abstractNumId w:val="4"/>
  </w:num>
  <w:num w:numId="8" w16cid:durableId="882836163">
    <w:abstractNumId w:val="17"/>
  </w:num>
  <w:num w:numId="9" w16cid:durableId="830290433">
    <w:abstractNumId w:val="1"/>
  </w:num>
  <w:num w:numId="10" w16cid:durableId="1703902760">
    <w:abstractNumId w:val="5"/>
  </w:num>
  <w:num w:numId="11" w16cid:durableId="828251255">
    <w:abstractNumId w:val="19"/>
  </w:num>
  <w:num w:numId="12" w16cid:durableId="931737305">
    <w:abstractNumId w:val="0"/>
  </w:num>
  <w:num w:numId="13" w16cid:durableId="1368945740">
    <w:abstractNumId w:val="16"/>
  </w:num>
  <w:num w:numId="14" w16cid:durableId="1774323237">
    <w:abstractNumId w:val="13"/>
  </w:num>
  <w:num w:numId="15" w16cid:durableId="482812731">
    <w:abstractNumId w:val="7"/>
  </w:num>
  <w:num w:numId="16" w16cid:durableId="874659196">
    <w:abstractNumId w:val="18"/>
  </w:num>
  <w:num w:numId="17" w16cid:durableId="187643449">
    <w:abstractNumId w:val="14"/>
  </w:num>
  <w:num w:numId="18" w16cid:durableId="2009941995">
    <w:abstractNumId w:val="8"/>
  </w:num>
  <w:num w:numId="19" w16cid:durableId="958530877">
    <w:abstractNumId w:val="11"/>
  </w:num>
  <w:num w:numId="20" w16cid:durableId="1285498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FC"/>
    <w:rsid w:val="0015033D"/>
    <w:rsid w:val="00163C6F"/>
    <w:rsid w:val="00195D82"/>
    <w:rsid w:val="001A1698"/>
    <w:rsid w:val="001D66A0"/>
    <w:rsid w:val="002114A9"/>
    <w:rsid w:val="00225409"/>
    <w:rsid w:val="002D72FF"/>
    <w:rsid w:val="003436AC"/>
    <w:rsid w:val="003540D5"/>
    <w:rsid w:val="003A578D"/>
    <w:rsid w:val="003B12C3"/>
    <w:rsid w:val="003C2F71"/>
    <w:rsid w:val="003D65A3"/>
    <w:rsid w:val="00426B75"/>
    <w:rsid w:val="00471938"/>
    <w:rsid w:val="00495BAD"/>
    <w:rsid w:val="004D4A07"/>
    <w:rsid w:val="004E3848"/>
    <w:rsid w:val="0051661D"/>
    <w:rsid w:val="00554E3E"/>
    <w:rsid w:val="005A0000"/>
    <w:rsid w:val="005F7681"/>
    <w:rsid w:val="00635DCC"/>
    <w:rsid w:val="006A3EC2"/>
    <w:rsid w:val="006B587D"/>
    <w:rsid w:val="006E6F15"/>
    <w:rsid w:val="00777FFC"/>
    <w:rsid w:val="00781E6D"/>
    <w:rsid w:val="007B4C40"/>
    <w:rsid w:val="007C5B6F"/>
    <w:rsid w:val="007E6E8C"/>
    <w:rsid w:val="00805718"/>
    <w:rsid w:val="00825B12"/>
    <w:rsid w:val="00850910"/>
    <w:rsid w:val="00866A1F"/>
    <w:rsid w:val="008709FC"/>
    <w:rsid w:val="00877B8E"/>
    <w:rsid w:val="00913560"/>
    <w:rsid w:val="0092690C"/>
    <w:rsid w:val="009706FF"/>
    <w:rsid w:val="00995FB5"/>
    <w:rsid w:val="009B01F6"/>
    <w:rsid w:val="009C7009"/>
    <w:rsid w:val="009D7FD3"/>
    <w:rsid w:val="00A2549F"/>
    <w:rsid w:val="00A32987"/>
    <w:rsid w:val="00A8515C"/>
    <w:rsid w:val="00A906E9"/>
    <w:rsid w:val="00AC6E85"/>
    <w:rsid w:val="00AE1693"/>
    <w:rsid w:val="00AE3D43"/>
    <w:rsid w:val="00B97CCB"/>
    <w:rsid w:val="00BF1435"/>
    <w:rsid w:val="00C02935"/>
    <w:rsid w:val="00C14724"/>
    <w:rsid w:val="00C65901"/>
    <w:rsid w:val="00C819D2"/>
    <w:rsid w:val="00CA0F0B"/>
    <w:rsid w:val="00CB17CF"/>
    <w:rsid w:val="00D10218"/>
    <w:rsid w:val="00D77D93"/>
    <w:rsid w:val="00D8212F"/>
    <w:rsid w:val="00D961BF"/>
    <w:rsid w:val="00DA3FE2"/>
    <w:rsid w:val="00DC1BB8"/>
    <w:rsid w:val="00DE0D23"/>
    <w:rsid w:val="00E16C79"/>
    <w:rsid w:val="00E75739"/>
    <w:rsid w:val="00E759FF"/>
    <w:rsid w:val="00EE04B8"/>
    <w:rsid w:val="00F3506B"/>
    <w:rsid w:val="00F46465"/>
    <w:rsid w:val="00F6132B"/>
    <w:rsid w:val="00F81282"/>
    <w:rsid w:val="00FA3895"/>
    <w:rsid w:val="00FC1C08"/>
    <w:rsid w:val="00FF24F8"/>
    <w:rsid w:val="00FF3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1789CC"/>
  <w15:docId w15:val="{043D58A3-6D90-4DA7-870F-314B54ED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A906E9"/>
    <w:rPr>
      <w:rFonts w:asciiTheme="minorHAnsi" w:hAnsiTheme="minorHAnsi"/>
      <w:kern w:val="18"/>
      <w:sz w:val="21"/>
      <w:szCs w:val="22"/>
      <w:lang w:val="en-GB"/>
    </w:rPr>
  </w:style>
  <w:style w:type="paragraph" w:styleId="Heading1">
    <w:name w:val="heading 1"/>
    <w:basedOn w:val="Normal"/>
    <w:next w:val="Normal"/>
    <w:autoRedefine/>
    <w:qFormat/>
    <w:rsid w:val="005655B1"/>
    <w:pPr>
      <w:keepNext/>
      <w:spacing w:before="240" w:after="60"/>
      <w:outlineLvl w:val="0"/>
    </w:pPr>
    <w:rPr>
      <w:b/>
      <w:kern w:val="32"/>
      <w:sz w:val="30"/>
      <w:szCs w:val="32"/>
    </w:rPr>
  </w:style>
  <w:style w:type="paragraph" w:styleId="Heading3">
    <w:name w:val="heading 3"/>
    <w:basedOn w:val="Normal"/>
    <w:next w:val="Normal"/>
    <w:qFormat/>
    <w:rsid w:val="00047893"/>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irst">
    <w:name w:val="Normal - First"/>
    <w:basedOn w:val="Normal"/>
    <w:next w:val="Normal"/>
    <w:autoRedefine/>
    <w:rsid w:val="00851FD4"/>
    <w:pPr>
      <w:widowControl w:val="0"/>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s>
      <w:autoSpaceDE w:val="0"/>
      <w:autoSpaceDN w:val="0"/>
      <w:adjustRightInd w:val="0"/>
      <w:spacing w:line="240" w:lineRule="atLeast"/>
      <w:textAlignment w:val="baseline"/>
    </w:pPr>
    <w:rPr>
      <w:rFonts w:ascii="DIN" w:hAnsi="DIN"/>
      <w:color w:val="292E3B"/>
      <w:sz w:val="18"/>
      <w:szCs w:val="18"/>
      <w:lang w:val="en-US"/>
    </w:rPr>
  </w:style>
  <w:style w:type="table" w:customStyle="1" w:styleId="YouthTable">
    <w:name w:val="Youth Table"/>
    <w:basedOn w:val="TableNormal"/>
    <w:rsid w:val="00D9187D"/>
    <w:rPr>
      <w:rFonts w:ascii="Arial Narrow" w:eastAsia="MS Mincho"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Helv" w:hAnsi="Helv"/>
        <w:b/>
        <w:i w:val="0"/>
        <w:sz w:val="20"/>
      </w:rPr>
      <w:tblPr>
        <w:tblCellMar>
          <w:top w:w="96" w:type="dxa"/>
          <w:left w:w="0" w:type="dxa"/>
          <w:bottom w:w="96" w:type="dxa"/>
          <w:right w:w="108" w:type="dxa"/>
        </w:tblCellMar>
      </w:tblPr>
      <w:tcPr>
        <w:shd w:val="clear" w:color="auto" w:fill="CCCCCC"/>
      </w:tcPr>
    </w:tblStylePr>
  </w:style>
  <w:style w:type="paragraph" w:styleId="Header">
    <w:name w:val="header"/>
    <w:basedOn w:val="Normal"/>
    <w:rsid w:val="00047893"/>
    <w:pPr>
      <w:tabs>
        <w:tab w:val="center" w:pos="4320"/>
        <w:tab w:val="right" w:pos="8640"/>
      </w:tabs>
    </w:pPr>
  </w:style>
  <w:style w:type="paragraph" w:styleId="Footer">
    <w:name w:val="footer"/>
    <w:basedOn w:val="Normal"/>
    <w:link w:val="FooterChar"/>
    <w:uiPriority w:val="99"/>
    <w:rsid w:val="00047893"/>
    <w:pPr>
      <w:tabs>
        <w:tab w:val="center" w:pos="4320"/>
        <w:tab w:val="right" w:pos="8640"/>
      </w:tabs>
    </w:pPr>
  </w:style>
  <w:style w:type="paragraph" w:styleId="BalloonText">
    <w:name w:val="Balloon Text"/>
    <w:basedOn w:val="Normal"/>
    <w:link w:val="BalloonTextChar"/>
    <w:rsid w:val="00850910"/>
    <w:rPr>
      <w:rFonts w:cs="Tahoma"/>
      <w:sz w:val="16"/>
      <w:szCs w:val="16"/>
    </w:rPr>
  </w:style>
  <w:style w:type="character" w:customStyle="1" w:styleId="BalloonTextChar">
    <w:name w:val="Balloon Text Char"/>
    <w:basedOn w:val="DefaultParagraphFont"/>
    <w:link w:val="BalloonText"/>
    <w:rsid w:val="00850910"/>
    <w:rPr>
      <w:rFonts w:ascii="Tahoma" w:hAnsi="Tahoma" w:cs="Tahoma"/>
      <w:kern w:val="18"/>
      <w:sz w:val="16"/>
      <w:szCs w:val="16"/>
      <w:lang w:val="en-GB"/>
    </w:rPr>
  </w:style>
  <w:style w:type="paragraph" w:styleId="ListParagraph">
    <w:name w:val="List Paragraph"/>
    <w:basedOn w:val="Normal"/>
    <w:uiPriority w:val="34"/>
    <w:qFormat/>
    <w:rsid w:val="00850910"/>
    <w:pPr>
      <w:spacing w:after="200" w:line="276" w:lineRule="auto"/>
      <w:ind w:left="720"/>
    </w:pPr>
    <w:rPr>
      <w:rFonts w:ascii="Cambria" w:eastAsia="Calibri" w:hAnsi="Cambria"/>
      <w:kern w:val="0"/>
      <w:sz w:val="22"/>
      <w:lang w:eastAsia="en-GB"/>
    </w:rPr>
  </w:style>
  <w:style w:type="character" w:styleId="Hyperlink">
    <w:name w:val="Hyperlink"/>
    <w:basedOn w:val="DefaultParagraphFont"/>
    <w:uiPriority w:val="99"/>
    <w:unhideWhenUsed/>
    <w:rsid w:val="00850910"/>
    <w:rPr>
      <w:color w:val="0000FF"/>
      <w:u w:val="single"/>
    </w:rPr>
  </w:style>
  <w:style w:type="paragraph" w:styleId="PlainText">
    <w:name w:val="Plain Text"/>
    <w:basedOn w:val="Normal"/>
    <w:link w:val="PlainTextChar"/>
    <w:uiPriority w:val="99"/>
    <w:unhideWhenUsed/>
    <w:rsid w:val="00850910"/>
    <w:rPr>
      <w:rFonts w:ascii="Calibri" w:eastAsia="Calibri" w:hAnsi="Calibri"/>
      <w:kern w:val="0"/>
      <w:sz w:val="22"/>
      <w:szCs w:val="21"/>
    </w:rPr>
  </w:style>
  <w:style w:type="character" w:customStyle="1" w:styleId="PlainTextChar">
    <w:name w:val="Plain Text Char"/>
    <w:basedOn w:val="DefaultParagraphFont"/>
    <w:link w:val="PlainText"/>
    <w:uiPriority w:val="99"/>
    <w:rsid w:val="00850910"/>
    <w:rPr>
      <w:rFonts w:ascii="Calibri" w:eastAsia="Calibri" w:hAnsi="Calibri"/>
      <w:sz w:val="22"/>
      <w:szCs w:val="21"/>
      <w:lang w:val="en-GB"/>
    </w:rPr>
  </w:style>
  <w:style w:type="paragraph" w:styleId="ListBullet">
    <w:name w:val="List Bullet"/>
    <w:basedOn w:val="Normal"/>
    <w:uiPriority w:val="99"/>
    <w:unhideWhenUsed/>
    <w:rsid w:val="002D72FF"/>
    <w:pPr>
      <w:numPr>
        <w:numId w:val="12"/>
      </w:numPr>
      <w:spacing w:after="160" w:line="259" w:lineRule="auto"/>
      <w:contextualSpacing/>
    </w:pPr>
    <w:rPr>
      <w:rFonts w:eastAsiaTheme="minorHAnsi" w:cstheme="minorBidi"/>
      <w:kern w:val="0"/>
      <w:sz w:val="22"/>
    </w:rPr>
  </w:style>
  <w:style w:type="table" w:styleId="TableGrid">
    <w:name w:val="Table Grid"/>
    <w:basedOn w:val="TableNormal"/>
    <w:uiPriority w:val="39"/>
    <w:rsid w:val="002D72FF"/>
    <w:rPr>
      <w:rFonts w:asciiTheme="minorHAnsi" w:eastAsia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72FF"/>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D72FF"/>
    <w:rPr>
      <w:rFonts w:asciiTheme="minorHAnsi" w:eastAsiaTheme="minorHAnsi" w:hAnsiTheme="minorHAnsi" w:cstheme="minorBidi"/>
      <w:kern w:val="2"/>
      <w:sz w:val="20"/>
      <w:szCs w:val="20"/>
      <w:lang w:val="en-GB"/>
      <w14:ligatures w14:val="standardContextual"/>
    </w:rPr>
  </w:style>
  <w:style w:type="character" w:styleId="FootnoteReference">
    <w:name w:val="footnote reference"/>
    <w:basedOn w:val="DefaultParagraphFont"/>
    <w:uiPriority w:val="99"/>
    <w:semiHidden/>
    <w:unhideWhenUsed/>
    <w:rsid w:val="002D72FF"/>
    <w:rPr>
      <w:vertAlign w:val="superscript"/>
    </w:rPr>
  </w:style>
  <w:style w:type="paragraph" w:styleId="NormalWeb">
    <w:name w:val="Normal (Web)"/>
    <w:basedOn w:val="Normal"/>
    <w:uiPriority w:val="99"/>
    <w:unhideWhenUsed/>
    <w:rsid w:val="002D72FF"/>
    <w:pPr>
      <w:spacing w:before="100" w:beforeAutospacing="1" w:after="100" w:afterAutospacing="1"/>
    </w:pPr>
    <w:rPr>
      <w:rFonts w:ascii="Times New Roman" w:hAnsi="Times New Roman"/>
      <w:kern w:val="0"/>
      <w:sz w:val="24"/>
      <w:szCs w:val="24"/>
      <w:lang w:eastAsia="en-GB"/>
    </w:rPr>
  </w:style>
  <w:style w:type="character" w:customStyle="1" w:styleId="FooterChar">
    <w:name w:val="Footer Char"/>
    <w:basedOn w:val="DefaultParagraphFont"/>
    <w:link w:val="Footer"/>
    <w:uiPriority w:val="99"/>
    <w:rsid w:val="00F6132B"/>
    <w:rPr>
      <w:rFonts w:asciiTheme="minorHAnsi" w:hAnsiTheme="minorHAnsi"/>
      <w:kern w:val="18"/>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newton@ippf.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ppf.org/resource/2023-2028-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ells\Local%20Settings\Temporary%20Internet%20Files\LetterheadSTD_Template%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56C4518E6B143954CB4D6A4E9C68C" ma:contentTypeVersion="5" ma:contentTypeDescription="Create a new document." ma:contentTypeScope="" ma:versionID="0ba80b17988f0404611cff89af2a207f">
  <xsd:schema xmlns:xsd="http://www.w3.org/2001/XMLSchema" xmlns:xs="http://www.w3.org/2001/XMLSchema" xmlns:p="http://schemas.microsoft.com/office/2006/metadata/properties" xmlns:ns2="184c6296-04f2-4b59-a884-7fa598fd8790" xmlns:ns3="afb08249-24ca-4d50-875e-22e2f677a87f" targetNamespace="http://schemas.microsoft.com/office/2006/metadata/properties" ma:root="true" ma:fieldsID="a4d1bd5aedb3748878a5b04acc5f91cd" ns2:_="" ns3:_="">
    <xsd:import namespace="184c6296-04f2-4b59-a884-7fa598fd8790"/>
    <xsd:import namespace="afb08249-24ca-4d50-875e-22e2f677a8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b08249-24ca-4d50-875e-22e2f677a87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0BC31-1F71-4BE6-8E14-DF9C3A6728AB}">
  <ds:schemaRefs>
    <ds:schemaRef ds:uri="http://schemas.microsoft.com/office/2006/metadata/properties"/>
  </ds:schemaRefs>
</ds:datastoreItem>
</file>

<file path=customXml/itemProps2.xml><?xml version="1.0" encoding="utf-8"?>
<ds:datastoreItem xmlns:ds="http://schemas.openxmlformats.org/officeDocument/2006/customXml" ds:itemID="{27F315CE-E853-4E93-A9A4-41FB81C5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afb08249-24ca-4d50-875e-22e2f67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527A8-7C52-4BD2-8BA6-3E9DDF73F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LetterheadSTD_Template (7)</Template>
  <TotalTime>0</TotalTime>
  <Pages>12</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 Letterhead template with 60th Anniversary Emblem</vt:lpstr>
    </vt:vector>
  </TitlesOfParts>
  <Company>International Planned Parenthood Federation</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Letterhead template with 60th Anniversary Emblem</dc:title>
  <dc:creator>cwells</dc:creator>
  <cp:lastModifiedBy>Alice Ackermann</cp:lastModifiedBy>
  <cp:revision>2</cp:revision>
  <cp:lastPrinted>2013-07-17T16:14:00Z</cp:lastPrinted>
  <dcterms:created xsi:type="dcterms:W3CDTF">2024-01-31T07:47:00Z</dcterms:created>
  <dcterms:modified xsi:type="dcterms:W3CDTF">2024-01-31T07:47:00Z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0x01010067856C4518E6B143954CB4D6A4E9C68C</vt:lpwstr>
  </property>
</Properties>
</file>