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7981" w14:textId="250B0A8A" w:rsidR="00A03BC5" w:rsidRDefault="00A03BC5" w:rsidP="00A03BC5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3A020AF" wp14:editId="5F6FCAC1">
            <wp:extent cx="2590800" cy="4826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E054" w14:textId="77777777" w:rsidR="00A03BC5" w:rsidRDefault="00A03BC5" w:rsidP="004E1F0D">
      <w:pPr>
        <w:jc w:val="center"/>
        <w:rPr>
          <w:b/>
          <w:bCs/>
          <w:sz w:val="28"/>
          <w:szCs w:val="28"/>
        </w:rPr>
      </w:pPr>
    </w:p>
    <w:p w14:paraId="09EC3EAC" w14:textId="77777777" w:rsidR="00A03BC5" w:rsidRDefault="00A03BC5" w:rsidP="004E1F0D">
      <w:pPr>
        <w:jc w:val="center"/>
        <w:rPr>
          <w:b/>
          <w:bCs/>
          <w:sz w:val="28"/>
          <w:szCs w:val="28"/>
        </w:rPr>
      </w:pPr>
    </w:p>
    <w:p w14:paraId="6924CA1D" w14:textId="4086AEC9" w:rsidR="00DD581E" w:rsidRDefault="004E1F0D" w:rsidP="004E1F0D">
      <w:pPr>
        <w:jc w:val="center"/>
        <w:rPr>
          <w:b/>
          <w:bCs/>
          <w:sz w:val="28"/>
          <w:szCs w:val="28"/>
        </w:rPr>
      </w:pPr>
      <w:r w:rsidRPr="004E1F0D">
        <w:rPr>
          <w:b/>
          <w:bCs/>
          <w:sz w:val="28"/>
          <w:szCs w:val="28"/>
        </w:rPr>
        <w:t>Terms of Reference: Comprehensive Global Rebrand</w:t>
      </w:r>
    </w:p>
    <w:p w14:paraId="037944D6" w14:textId="5E526A75" w:rsidR="004E1F0D" w:rsidRDefault="004E1F0D" w:rsidP="004E1F0D">
      <w:pPr>
        <w:jc w:val="center"/>
        <w:rPr>
          <w:b/>
          <w:bCs/>
          <w:sz w:val="28"/>
          <w:szCs w:val="28"/>
        </w:rPr>
      </w:pPr>
    </w:p>
    <w:p w14:paraId="1ACAE47F" w14:textId="4FDA03DD" w:rsidR="004E1F0D" w:rsidRPr="003B4540" w:rsidRDefault="004E1F0D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About IPPF</w:t>
      </w:r>
    </w:p>
    <w:p w14:paraId="4C0B57D6" w14:textId="6A359916" w:rsidR="004E1F0D" w:rsidRDefault="004E1F0D" w:rsidP="004E1F0D">
      <w:pPr>
        <w:rPr>
          <w:b/>
          <w:bCs/>
        </w:rPr>
      </w:pPr>
    </w:p>
    <w:p w14:paraId="253ED3DC" w14:textId="69FB7018" w:rsidR="004E1F0D" w:rsidRDefault="004E1F0D" w:rsidP="004E1F0D">
      <w:r>
        <w:t>International</w:t>
      </w:r>
      <w:r w:rsidR="00BE1D17">
        <w:t xml:space="preserve"> Planned Parenthood Federation (IPPF) </w:t>
      </w:r>
      <w:r w:rsidR="0071084E">
        <w:t xml:space="preserve">is </w:t>
      </w:r>
      <w:r w:rsidR="00820B9B">
        <w:t xml:space="preserve">one of the </w:t>
      </w:r>
      <w:r w:rsidR="0071084E">
        <w:t>global leader</w:t>
      </w:r>
      <w:r w:rsidR="006C7A46">
        <w:t>s</w:t>
      </w:r>
      <w:r w:rsidR="00BE1D17">
        <w:t xml:space="preserve"> </w:t>
      </w:r>
      <w:r w:rsidR="00820B9B">
        <w:t>in providing</w:t>
      </w:r>
      <w:r w:rsidR="00BE1D17">
        <w:t xml:space="preserve"> sexual and reproductive healthcare and advoca</w:t>
      </w:r>
      <w:r w:rsidR="00B75B0A">
        <w:t>cy</w:t>
      </w:r>
      <w:r w:rsidR="00BE1D17">
        <w:t xml:space="preserve"> for the protection and advancement of sexual and reproductive rights</w:t>
      </w:r>
      <w:r w:rsidR="00BA5BCA">
        <w:t xml:space="preserve"> and </w:t>
      </w:r>
      <w:r w:rsidR="00613EE6">
        <w:t>justice</w:t>
      </w:r>
      <w:r w:rsidR="00BE1D17">
        <w:t>.</w:t>
      </w:r>
    </w:p>
    <w:p w14:paraId="5FCDC4B0" w14:textId="73FF6F0C" w:rsidR="00BE1D17" w:rsidRDefault="00BE1D17" w:rsidP="004E1F0D"/>
    <w:p w14:paraId="3B74A620" w14:textId="2706BEB9" w:rsidR="003B4540" w:rsidRDefault="00BE1D17" w:rsidP="004E1F0D">
      <w:r>
        <w:t xml:space="preserve">IPPF </w:t>
      </w:r>
      <w:r w:rsidR="00871015">
        <w:t xml:space="preserve">operates </w:t>
      </w:r>
      <w:r>
        <w:t xml:space="preserve">in </w:t>
      </w:r>
      <w:r w:rsidR="00C32E33">
        <w:t xml:space="preserve">151 </w:t>
      </w:r>
      <w:r>
        <w:t xml:space="preserve">countries </w:t>
      </w:r>
      <w:r w:rsidR="0024668A">
        <w:t>worldwide, comprising</w:t>
      </w:r>
      <w:r>
        <w:t xml:space="preserve"> 1</w:t>
      </w:r>
      <w:r w:rsidR="00903695">
        <w:t>16</w:t>
      </w:r>
      <w:r>
        <w:t xml:space="preserve"> locally owned and </w:t>
      </w:r>
      <w:r w:rsidR="006A0EAD">
        <w:t>locally led</w:t>
      </w:r>
      <w:r>
        <w:t xml:space="preserve"> Member Associations</w:t>
      </w:r>
      <w:r w:rsidR="000A59E5">
        <w:t>,</w:t>
      </w:r>
      <w:r>
        <w:t xml:space="preserve"> </w:t>
      </w:r>
      <w:r w:rsidR="00903695">
        <w:t xml:space="preserve">and </w:t>
      </w:r>
      <w:r w:rsidR="00FA40C6">
        <w:t>work</w:t>
      </w:r>
      <w:r w:rsidR="00FC4D45">
        <w:t>s</w:t>
      </w:r>
      <w:r w:rsidR="00FA40C6">
        <w:t xml:space="preserve"> with </w:t>
      </w:r>
      <w:r w:rsidR="00903695">
        <w:t xml:space="preserve">39 </w:t>
      </w:r>
      <w:r w:rsidR="00E03495">
        <w:t>Collaborative Partners</w:t>
      </w:r>
      <w:r w:rsidR="00FA40C6">
        <w:t>.</w:t>
      </w:r>
    </w:p>
    <w:p w14:paraId="3F04002F" w14:textId="1787F3E7" w:rsidR="003B66CC" w:rsidRDefault="003B66CC" w:rsidP="004E1F0D"/>
    <w:p w14:paraId="55A49CD0" w14:textId="19D1CFD6" w:rsidR="003B66CC" w:rsidRPr="003B4540" w:rsidRDefault="003B66CC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The Purpose of the Rebrand</w:t>
      </w:r>
    </w:p>
    <w:p w14:paraId="2ACB5B19" w14:textId="421C6A81" w:rsidR="003B66CC" w:rsidRDefault="003B66CC" w:rsidP="004E1F0D">
      <w:pPr>
        <w:rPr>
          <w:b/>
          <w:bCs/>
        </w:rPr>
      </w:pPr>
    </w:p>
    <w:p w14:paraId="6401DA01" w14:textId="5D04F69E" w:rsidR="00714681" w:rsidRDefault="00714681" w:rsidP="00714681">
      <w:r w:rsidRPr="003473C7">
        <w:t xml:space="preserve">Over the </w:t>
      </w:r>
      <w:r>
        <w:t>past</w:t>
      </w:r>
      <w:r w:rsidRPr="003473C7">
        <w:t xml:space="preserve"> decades </w:t>
      </w:r>
      <w:r>
        <w:t>IPPF</w:t>
      </w:r>
      <w:r w:rsidRPr="003473C7">
        <w:t xml:space="preserve"> has </w:t>
      </w:r>
      <w:r w:rsidR="00DE4162">
        <w:t>undergone significant evolution, transitioning from</w:t>
      </w:r>
      <w:r w:rsidR="006E2592">
        <w:t xml:space="preserve"> </w:t>
      </w:r>
      <w:r w:rsidRPr="003473C7">
        <w:t>a family planning organisation to</w:t>
      </w:r>
      <w:r w:rsidR="00D04C6A">
        <w:t xml:space="preserve"> </w:t>
      </w:r>
      <w:r w:rsidR="006E2592">
        <w:t>a more expansive</w:t>
      </w:r>
      <w:r w:rsidR="00D04C6A">
        <w:t xml:space="preserve"> human rights organisation. </w:t>
      </w:r>
      <w:r w:rsidRPr="003473C7">
        <w:t xml:space="preserve"> </w:t>
      </w:r>
    </w:p>
    <w:p w14:paraId="5135EB0F" w14:textId="77777777" w:rsidR="00EC4AD8" w:rsidRPr="003473C7" w:rsidRDefault="00EC4AD8" w:rsidP="00714681"/>
    <w:p w14:paraId="2BCB853D" w14:textId="4453596D" w:rsidR="00282A03" w:rsidRDefault="003B4540" w:rsidP="004E1F0D">
      <w:r>
        <w:t>In November 2022</w:t>
      </w:r>
      <w:r w:rsidR="006E2592">
        <w:t>,</w:t>
      </w:r>
      <w:r>
        <w:t xml:space="preserve"> </w:t>
      </w:r>
      <w:r w:rsidR="00F97A0B">
        <w:t>marking its 70</w:t>
      </w:r>
      <w:r w:rsidR="0044157A">
        <w:t xml:space="preserve">th anniversary, IPPF </w:t>
      </w:r>
      <w:r>
        <w:t xml:space="preserve">adopted a bold new strategy; </w:t>
      </w:r>
      <w:hyperlink r:id="rId7">
        <w:r w:rsidRPr="537E804D">
          <w:rPr>
            <w:rStyle w:val="Hyperlink"/>
          </w:rPr>
          <w:t>Come Together 2023-2028</w:t>
        </w:r>
      </w:hyperlink>
      <w:r>
        <w:t>. Th</w:t>
      </w:r>
      <w:r w:rsidR="00402FC1">
        <w:t xml:space="preserve">is </w:t>
      </w:r>
      <w:r>
        <w:t xml:space="preserve">strategy reflects the ‘new’ IPPF, </w:t>
      </w:r>
      <w:r w:rsidR="008427AA">
        <w:t>serving as a decisive step forward</w:t>
      </w:r>
      <w:r w:rsidR="13B49688">
        <w:t xml:space="preserve"> </w:t>
      </w:r>
      <w:r>
        <w:t xml:space="preserve">to </w:t>
      </w:r>
      <w:r w:rsidR="00CD4206">
        <w:t xml:space="preserve">a </w:t>
      </w:r>
      <w:r>
        <w:t>bolder</w:t>
      </w:r>
      <w:r w:rsidR="00D169AE">
        <w:t xml:space="preserve"> and </w:t>
      </w:r>
      <w:r>
        <w:t>braver</w:t>
      </w:r>
      <w:r w:rsidR="00CD4206">
        <w:t xml:space="preserve"> </w:t>
      </w:r>
      <w:r w:rsidR="006A186D">
        <w:t>federation</w:t>
      </w:r>
      <w:r w:rsidR="00356DF2">
        <w:t xml:space="preserve">, firmly rooted </w:t>
      </w:r>
      <w:r w:rsidR="00B62C4F">
        <w:t>in the universality of values and global solidarity</w:t>
      </w:r>
      <w:r w:rsidR="008221F0">
        <w:t xml:space="preserve"> with excluded communities through our Member Associations.</w:t>
      </w:r>
      <w:r>
        <w:t xml:space="preserve"> The strategy </w:t>
      </w:r>
      <w:r w:rsidR="00D169AE">
        <w:t>launched the Identity Initiative under pillar 4</w:t>
      </w:r>
      <w:r w:rsidR="000931EF">
        <w:t>.</w:t>
      </w:r>
      <w:r w:rsidR="00D169AE">
        <w:t xml:space="preserve"> </w:t>
      </w:r>
    </w:p>
    <w:p w14:paraId="12422120" w14:textId="77777777" w:rsidR="00282A03" w:rsidRDefault="00282A03" w:rsidP="004E1F0D"/>
    <w:p w14:paraId="54DB9804" w14:textId="39C33E84" w:rsidR="00B41911" w:rsidRDefault="000931EF" w:rsidP="004E1F0D">
      <w:r>
        <w:t>The</w:t>
      </w:r>
      <w:r w:rsidR="00D169AE">
        <w:t xml:space="preserve"> </w:t>
      </w:r>
      <w:r w:rsidR="0055698E">
        <w:t xml:space="preserve">initiative </w:t>
      </w:r>
      <w:r w:rsidR="00813B9C">
        <w:t xml:space="preserve">seeks to define IPPF’s </w:t>
      </w:r>
      <w:r w:rsidR="00FA20C0">
        <w:t xml:space="preserve">core </w:t>
      </w:r>
      <w:r w:rsidR="00813B9C">
        <w:t>values through the Charter of Values</w:t>
      </w:r>
      <w:r w:rsidR="00FA20C0">
        <w:t xml:space="preserve">, while </w:t>
      </w:r>
      <w:r w:rsidR="00F37F36">
        <w:t xml:space="preserve">reimagining </w:t>
      </w:r>
      <w:r w:rsidR="0055698E">
        <w:t>its outward presentation through</w:t>
      </w:r>
      <w:r w:rsidR="007E0DB6">
        <w:t xml:space="preserve"> a refreshed brand</w:t>
      </w:r>
      <w:r w:rsidR="00B00316">
        <w:t>. Th</w:t>
      </w:r>
      <w:r w:rsidR="005637CA">
        <w:t>is</w:t>
      </w:r>
      <w:r w:rsidR="00B00316">
        <w:t xml:space="preserve"> new brand</w:t>
      </w:r>
      <w:r w:rsidR="007E0DB6">
        <w:t xml:space="preserve"> </w:t>
      </w:r>
      <w:r w:rsidR="00B00316">
        <w:t xml:space="preserve">will </w:t>
      </w:r>
      <w:r w:rsidR="006A186D">
        <w:t>re</w:t>
      </w:r>
      <w:r w:rsidR="00B00316">
        <w:t>position</w:t>
      </w:r>
      <w:r w:rsidR="00AB1BEB">
        <w:t xml:space="preserve"> the </w:t>
      </w:r>
      <w:r w:rsidR="00B4782E">
        <w:t>federation</w:t>
      </w:r>
      <w:r w:rsidR="00AB1BEB">
        <w:t xml:space="preserve"> </w:t>
      </w:r>
      <w:r w:rsidR="005637CA">
        <w:t xml:space="preserve">to confront </w:t>
      </w:r>
      <w:r w:rsidR="00475D92">
        <w:t xml:space="preserve">the challenges of the </w:t>
      </w:r>
      <w:r w:rsidR="004A68AE">
        <w:t xml:space="preserve">world’s </w:t>
      </w:r>
      <w:r w:rsidR="00AB1BEB">
        <w:t>future</w:t>
      </w:r>
      <w:r w:rsidR="0095291B">
        <w:t>, amplifying</w:t>
      </w:r>
      <w:r w:rsidR="00AB1BEB">
        <w:t xml:space="preserve"> </w:t>
      </w:r>
      <w:r w:rsidR="00D63F8C">
        <w:t>the</w:t>
      </w:r>
      <w:r w:rsidR="00AB1BEB">
        <w:t xml:space="preserve"> voice</w:t>
      </w:r>
      <w:r w:rsidR="00D63F8C">
        <w:t>s</w:t>
      </w:r>
      <w:r w:rsidR="00AB1BEB">
        <w:t xml:space="preserve"> </w:t>
      </w:r>
      <w:r w:rsidR="00D63F8C">
        <w:t xml:space="preserve">of </w:t>
      </w:r>
      <w:r w:rsidR="00AB1BEB">
        <w:t xml:space="preserve">the millions of people </w:t>
      </w:r>
      <w:r w:rsidR="005A72DB">
        <w:t>it serves</w:t>
      </w:r>
      <w:r w:rsidR="00103B91">
        <w:t xml:space="preserve">, </w:t>
      </w:r>
      <w:r w:rsidR="005A72DB">
        <w:t xml:space="preserve">embodying our </w:t>
      </w:r>
      <w:r w:rsidR="00177312">
        <w:t>mission and our values.</w:t>
      </w:r>
      <w:r w:rsidR="32AC4138">
        <w:t xml:space="preserve"> </w:t>
      </w:r>
      <w:r w:rsidR="0091583A">
        <w:t>The new brand</w:t>
      </w:r>
      <w:r w:rsidR="00953907">
        <w:t xml:space="preserve"> should be designed to be sustainable and adaptable,</w:t>
      </w:r>
      <w:r w:rsidR="005D1CFC">
        <w:t xml:space="preserve"> reflecting our commitment to long-term viability and resilience in a rapidly changing landscape.</w:t>
      </w:r>
    </w:p>
    <w:p w14:paraId="510C0DD4" w14:textId="77777777" w:rsidR="009E491A" w:rsidRDefault="009E491A" w:rsidP="004E1F0D"/>
    <w:p w14:paraId="1705693C" w14:textId="6E7DA739" w:rsidR="003B4540" w:rsidRDefault="00B41911" w:rsidP="004E1F0D">
      <w:r>
        <w:t>T</w:t>
      </w:r>
      <w:r w:rsidR="19B440CE">
        <w:t xml:space="preserve">he process to develop the </w:t>
      </w:r>
      <w:r w:rsidR="0712E8DE">
        <w:t>Charter</w:t>
      </w:r>
      <w:r w:rsidR="19B440CE">
        <w:t xml:space="preserve"> of Values will work closely with the </w:t>
      </w:r>
      <w:r w:rsidR="27813C28">
        <w:t>Global R</w:t>
      </w:r>
      <w:r w:rsidR="19B440CE">
        <w:t>ebrand process.</w:t>
      </w:r>
    </w:p>
    <w:p w14:paraId="414970AE" w14:textId="02356299" w:rsidR="003B4540" w:rsidRDefault="003B4540" w:rsidP="537E804D"/>
    <w:p w14:paraId="49D0CC5C" w14:textId="58F5C78B" w:rsidR="003B4540" w:rsidRDefault="003B4540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Scope of work</w:t>
      </w:r>
    </w:p>
    <w:p w14:paraId="51E2678D" w14:textId="77777777" w:rsidR="009B06B5" w:rsidRDefault="009B06B5" w:rsidP="009B06B5">
      <w:pPr>
        <w:rPr>
          <w:b/>
          <w:bCs/>
        </w:rPr>
      </w:pPr>
    </w:p>
    <w:p w14:paraId="6833FE41" w14:textId="4BF2795A" w:rsidR="009B06B5" w:rsidRPr="009B06B5" w:rsidRDefault="009B06B5" w:rsidP="009B06B5">
      <w:pPr>
        <w:rPr>
          <w:b/>
          <w:bCs/>
        </w:rPr>
      </w:pPr>
      <w:r>
        <w:rPr>
          <w:b/>
          <w:bCs/>
        </w:rPr>
        <w:t>The Global Rebrand is a digital rebran</w:t>
      </w:r>
      <w:r w:rsidR="007C5EC4">
        <w:rPr>
          <w:b/>
          <w:bCs/>
        </w:rPr>
        <w:t>d.</w:t>
      </w:r>
    </w:p>
    <w:p w14:paraId="67F5126F" w14:textId="7F2AB562" w:rsidR="00B41911" w:rsidRDefault="00B41911" w:rsidP="00B41911">
      <w:pPr>
        <w:rPr>
          <w:b/>
          <w:bCs/>
        </w:rPr>
      </w:pPr>
    </w:p>
    <w:p w14:paraId="3C06AF86" w14:textId="5B5213B6" w:rsidR="00BD0ACC" w:rsidRDefault="000A3172" w:rsidP="00BD0ACC">
      <w:pPr>
        <w:pStyle w:val="ListParagraph"/>
        <w:numPr>
          <w:ilvl w:val="0"/>
          <w:numId w:val="2"/>
        </w:numPr>
      </w:pPr>
      <w:r>
        <w:t xml:space="preserve">Brand </w:t>
      </w:r>
      <w:r w:rsidR="007C5EC4">
        <w:t>perception</w:t>
      </w:r>
      <w:r w:rsidR="00883F14">
        <w:t>, audit and competitor analysis</w:t>
      </w:r>
      <w:r w:rsidR="00787C18">
        <w:t xml:space="preserve">, inclusive of </w:t>
      </w:r>
      <w:r w:rsidR="001B6835">
        <w:t>consultations with internal and external stakeholders</w:t>
      </w:r>
      <w:r w:rsidR="00A37643">
        <w:t xml:space="preserve"> through interviews, focus </w:t>
      </w:r>
      <w:r w:rsidR="006B1087">
        <w:t xml:space="preserve">groups and surveys. </w:t>
      </w:r>
    </w:p>
    <w:p w14:paraId="683CBDA8" w14:textId="627C4004" w:rsidR="00BD0ACC" w:rsidRDefault="000D1BC0" w:rsidP="00BD0ACC">
      <w:pPr>
        <w:pStyle w:val="ListParagraph"/>
        <w:numPr>
          <w:ilvl w:val="0"/>
          <w:numId w:val="2"/>
        </w:numPr>
      </w:pPr>
      <w:r>
        <w:t>Future-centred s</w:t>
      </w:r>
      <w:r w:rsidR="00AF638B">
        <w:t xml:space="preserve">trategy </w:t>
      </w:r>
      <w:r w:rsidR="007C5EC4">
        <w:t>development</w:t>
      </w:r>
      <w:r w:rsidR="001A1104">
        <w:t xml:space="preserve"> </w:t>
      </w:r>
      <w:r w:rsidR="00AF638B">
        <w:t>and</w:t>
      </w:r>
      <w:r w:rsidR="001B6835">
        <w:t xml:space="preserve"> brand</w:t>
      </w:r>
      <w:r w:rsidR="00AF638B">
        <w:t xml:space="preserve"> positioning</w:t>
      </w:r>
      <w:r w:rsidR="001C0A76">
        <w:t xml:space="preserve"> with a strong storytelling component.</w:t>
      </w:r>
    </w:p>
    <w:p w14:paraId="5D091255" w14:textId="31B28CB1" w:rsidR="00B41911" w:rsidRDefault="00E66E38" w:rsidP="00B41FC4">
      <w:pPr>
        <w:pStyle w:val="ListParagraph"/>
        <w:numPr>
          <w:ilvl w:val="0"/>
          <w:numId w:val="2"/>
        </w:numPr>
      </w:pPr>
      <w:r>
        <w:lastRenderedPageBreak/>
        <w:t xml:space="preserve">Development of </w:t>
      </w:r>
      <w:r w:rsidR="003051C8">
        <w:t>three</w:t>
      </w:r>
      <w:r>
        <w:t xml:space="preserve"> </w:t>
      </w:r>
      <w:r w:rsidR="009222CF">
        <w:t>b</w:t>
      </w:r>
      <w:r w:rsidR="00735C78">
        <w:t>rand identity</w:t>
      </w:r>
      <w:r w:rsidR="009222CF">
        <w:t xml:space="preserve"> options</w:t>
      </w:r>
      <w:r w:rsidR="00F92DF8">
        <w:t xml:space="preserve"> i</w:t>
      </w:r>
      <w:r w:rsidR="00B660D2">
        <w:t>ncluding brand name, logo, colour palette, typography,</w:t>
      </w:r>
      <w:r w:rsidR="002E6A75">
        <w:t xml:space="preserve"> photography style, </w:t>
      </w:r>
      <w:r w:rsidR="00775BDE">
        <w:t xml:space="preserve">visual elements, </w:t>
      </w:r>
      <w:r w:rsidR="002E6A75">
        <w:t xml:space="preserve">tone </w:t>
      </w:r>
      <w:r w:rsidR="00B23369">
        <w:t xml:space="preserve">and voice, </w:t>
      </w:r>
      <w:r w:rsidR="00E408F2">
        <w:t>brand stor</w:t>
      </w:r>
      <w:r w:rsidR="005B6081">
        <w:t>y,</w:t>
      </w:r>
      <w:r w:rsidR="00E408F2">
        <w:t xml:space="preserve"> narrative</w:t>
      </w:r>
      <w:r w:rsidR="005B6081">
        <w:t xml:space="preserve"> and messaging</w:t>
      </w:r>
      <w:r w:rsidR="00E408F2">
        <w:t>, brand personality</w:t>
      </w:r>
      <w:r w:rsidR="00775BDE">
        <w:t xml:space="preserve"> and tagline options.</w:t>
      </w:r>
    </w:p>
    <w:p w14:paraId="7E2D8899" w14:textId="7DDF5894" w:rsidR="003D4710" w:rsidRPr="00B41911" w:rsidRDefault="00481658" w:rsidP="00B41FC4">
      <w:pPr>
        <w:pStyle w:val="ListParagraph"/>
        <w:numPr>
          <w:ilvl w:val="0"/>
          <w:numId w:val="2"/>
        </w:numPr>
      </w:pPr>
      <w:r>
        <w:t>Ensure that digital assets are accessible</w:t>
      </w:r>
      <w:r w:rsidR="00C66D33">
        <w:t>.</w:t>
      </w:r>
    </w:p>
    <w:p w14:paraId="03A951D3" w14:textId="7C645AFF" w:rsidR="00C73633" w:rsidRDefault="00C73633" w:rsidP="00B41911">
      <w:pPr>
        <w:pStyle w:val="ListParagraph"/>
        <w:numPr>
          <w:ilvl w:val="0"/>
          <w:numId w:val="2"/>
        </w:numPr>
      </w:pPr>
      <w:r>
        <w:t>Naming</w:t>
      </w:r>
      <w:r w:rsidR="00C6604E">
        <w:t xml:space="preserve"> – research</w:t>
      </w:r>
      <w:r w:rsidR="008A3369">
        <w:t xml:space="preserve">, consultation and development of naming options, with incorporation into </w:t>
      </w:r>
      <w:r w:rsidR="00A803C9">
        <w:t>the</w:t>
      </w:r>
      <w:r w:rsidR="008A3369">
        <w:t xml:space="preserve"> brand identity design</w:t>
      </w:r>
      <w:r w:rsidR="00A803C9">
        <w:t>s.</w:t>
      </w:r>
    </w:p>
    <w:p w14:paraId="70B9ADA4" w14:textId="78838EB4" w:rsidR="0020184B" w:rsidRDefault="0020184B" w:rsidP="00B41911">
      <w:pPr>
        <w:pStyle w:val="ListParagraph"/>
        <w:numPr>
          <w:ilvl w:val="0"/>
          <w:numId w:val="2"/>
        </w:numPr>
      </w:pPr>
      <w:r>
        <w:t>Digital rebranding and content strategy</w:t>
      </w:r>
    </w:p>
    <w:p w14:paraId="3605E45D" w14:textId="46091938" w:rsidR="005B6081" w:rsidRDefault="005B6081" w:rsidP="005B6081">
      <w:pPr>
        <w:pStyle w:val="ListParagraph"/>
        <w:numPr>
          <w:ilvl w:val="0"/>
          <w:numId w:val="2"/>
        </w:numPr>
      </w:pPr>
      <w:r w:rsidRPr="00B41911">
        <w:t xml:space="preserve">Work with IPPF to design and produce </w:t>
      </w:r>
      <w:r w:rsidR="00CE2614">
        <w:t xml:space="preserve">consultations </w:t>
      </w:r>
      <w:r w:rsidRPr="00B41911">
        <w:t>to encourage member association and youth participation.</w:t>
      </w:r>
    </w:p>
    <w:p w14:paraId="188A79B5" w14:textId="0945877B" w:rsidR="007F2C2C" w:rsidRDefault="007F2C2C" w:rsidP="005B6081">
      <w:pPr>
        <w:pStyle w:val="ListParagraph"/>
        <w:numPr>
          <w:ilvl w:val="0"/>
          <w:numId w:val="2"/>
        </w:numPr>
      </w:pPr>
      <w:r>
        <w:t>Carry out</w:t>
      </w:r>
      <w:r w:rsidR="00E802F3">
        <w:t xml:space="preserve"> a</w:t>
      </w:r>
      <w:r>
        <w:t xml:space="preserve"> risk assessment and develop a risk management plan</w:t>
      </w:r>
      <w:r w:rsidR="00AF5097">
        <w:t xml:space="preserve"> around the branding and rename. </w:t>
      </w:r>
    </w:p>
    <w:p w14:paraId="68947A06" w14:textId="5B0449B5" w:rsidR="00BB2515" w:rsidRPr="00B41911" w:rsidRDefault="00BB2515" w:rsidP="00AF1432">
      <w:pPr>
        <w:pStyle w:val="ListParagraph"/>
        <w:numPr>
          <w:ilvl w:val="0"/>
          <w:numId w:val="2"/>
        </w:numPr>
      </w:pPr>
      <w:r w:rsidRPr="00B41911">
        <w:t>Work with third</w:t>
      </w:r>
      <w:r w:rsidR="006A0EAD">
        <w:t>-</w:t>
      </w:r>
      <w:r w:rsidRPr="00B41911">
        <w:t>party consultants to help develop language and narrative through an asset framing and intersectional lens</w:t>
      </w:r>
      <w:r>
        <w:t xml:space="preserve"> and </w:t>
      </w:r>
      <w:r w:rsidR="00707E23">
        <w:t xml:space="preserve">harmonise the language of the Charter of Values and </w:t>
      </w:r>
      <w:r w:rsidR="006A0EAD">
        <w:t xml:space="preserve">the </w:t>
      </w:r>
      <w:r w:rsidR="00707E23">
        <w:t>tone of voice of the brand.</w:t>
      </w:r>
      <w:r w:rsidR="006C0824" w:rsidRPr="006C0824">
        <w:t xml:space="preserve"> </w:t>
      </w:r>
    </w:p>
    <w:p w14:paraId="5694284D" w14:textId="77777777" w:rsidR="00FC79EB" w:rsidRDefault="00FC79EB" w:rsidP="00137A0E"/>
    <w:p w14:paraId="47DA021C" w14:textId="2C13E19D" w:rsidR="00FC79EB" w:rsidRDefault="00FC79EB" w:rsidP="00DB5E2F">
      <w:pPr>
        <w:pStyle w:val="ListParagraph"/>
        <w:numPr>
          <w:ilvl w:val="0"/>
          <w:numId w:val="1"/>
        </w:numPr>
        <w:rPr>
          <w:b/>
          <w:bCs/>
        </w:rPr>
      </w:pPr>
      <w:r w:rsidRPr="00DB5E2F">
        <w:rPr>
          <w:b/>
          <w:bCs/>
        </w:rPr>
        <w:t>Deliverables</w:t>
      </w:r>
    </w:p>
    <w:p w14:paraId="345DD124" w14:textId="77777777" w:rsidR="00DB5E2F" w:rsidRPr="00DB5E2F" w:rsidRDefault="00DB5E2F" w:rsidP="00DB5E2F">
      <w:pPr>
        <w:pStyle w:val="ListParagraph"/>
        <w:rPr>
          <w:b/>
          <w:bCs/>
        </w:rPr>
      </w:pPr>
    </w:p>
    <w:p w14:paraId="61D6F1EE" w14:textId="65C615EB" w:rsidR="00B41911" w:rsidRDefault="00B41911" w:rsidP="004E1F0D">
      <w:pPr>
        <w:pStyle w:val="ListParagraph"/>
        <w:numPr>
          <w:ilvl w:val="0"/>
          <w:numId w:val="2"/>
        </w:numPr>
      </w:pPr>
      <w:r w:rsidRPr="00B41911">
        <w:t xml:space="preserve">Brand </w:t>
      </w:r>
      <w:r w:rsidR="00FC79EB">
        <w:t>guide</w:t>
      </w:r>
    </w:p>
    <w:p w14:paraId="7CFBB5F6" w14:textId="2F5C717D" w:rsidR="003511D5" w:rsidRDefault="003511D5" w:rsidP="004E1F0D">
      <w:pPr>
        <w:pStyle w:val="ListParagraph"/>
        <w:numPr>
          <w:ilvl w:val="0"/>
          <w:numId w:val="2"/>
        </w:numPr>
      </w:pPr>
      <w:r>
        <w:t xml:space="preserve">Brand </w:t>
      </w:r>
      <w:r w:rsidR="00410D43">
        <w:t>strategy</w:t>
      </w:r>
      <w:r w:rsidR="00FB7D86">
        <w:t xml:space="preserve"> document</w:t>
      </w:r>
    </w:p>
    <w:p w14:paraId="704F0552" w14:textId="6D3CE60F" w:rsidR="00FC79EB" w:rsidRDefault="00BB2515" w:rsidP="004E1F0D">
      <w:pPr>
        <w:pStyle w:val="ListParagraph"/>
        <w:numPr>
          <w:ilvl w:val="0"/>
          <w:numId w:val="2"/>
        </w:numPr>
      </w:pPr>
      <w:r>
        <w:t>Brand perception, audit</w:t>
      </w:r>
      <w:r w:rsidR="006A0EAD">
        <w:t>,</w:t>
      </w:r>
      <w:r>
        <w:t xml:space="preserve"> and competitor analysis report</w:t>
      </w:r>
    </w:p>
    <w:p w14:paraId="1052DC8D" w14:textId="61EEC796" w:rsidR="00BB2515" w:rsidRDefault="00BB2515" w:rsidP="004E1F0D">
      <w:pPr>
        <w:pStyle w:val="ListParagraph"/>
        <w:numPr>
          <w:ilvl w:val="0"/>
          <w:numId w:val="2"/>
        </w:numPr>
      </w:pPr>
      <w:r>
        <w:t>External consultations findings</w:t>
      </w:r>
    </w:p>
    <w:p w14:paraId="6BE975F5" w14:textId="7C4245D9" w:rsidR="00E802F3" w:rsidRDefault="00E802F3" w:rsidP="004E1F0D">
      <w:pPr>
        <w:pStyle w:val="ListParagraph"/>
        <w:numPr>
          <w:ilvl w:val="0"/>
          <w:numId w:val="2"/>
        </w:numPr>
      </w:pPr>
      <w:r>
        <w:t xml:space="preserve">Risk assessment and management </w:t>
      </w:r>
      <w:proofErr w:type="gramStart"/>
      <w:r>
        <w:t>plan</w:t>
      </w:r>
      <w:proofErr w:type="gramEnd"/>
    </w:p>
    <w:p w14:paraId="6333A87B" w14:textId="019E7149" w:rsidR="00FB7D86" w:rsidRDefault="00FB7D86" w:rsidP="004E1F0D">
      <w:pPr>
        <w:pStyle w:val="ListParagraph"/>
        <w:numPr>
          <w:ilvl w:val="0"/>
          <w:numId w:val="2"/>
        </w:numPr>
      </w:pPr>
      <w:r>
        <w:t>Creative concepts</w:t>
      </w:r>
      <w:r w:rsidR="008228CD">
        <w:t xml:space="preserve"> and brand design options</w:t>
      </w:r>
    </w:p>
    <w:p w14:paraId="657E5A0A" w14:textId="3DF0F1C7" w:rsidR="00393F2A" w:rsidRDefault="001F1067" w:rsidP="00393F2A">
      <w:pPr>
        <w:pStyle w:val="ListParagraph"/>
        <w:numPr>
          <w:ilvl w:val="0"/>
          <w:numId w:val="2"/>
        </w:numPr>
      </w:pPr>
      <w:r>
        <w:t xml:space="preserve">Brand assets </w:t>
      </w:r>
      <w:r w:rsidR="00D26180">
        <w:t xml:space="preserve">– </w:t>
      </w:r>
      <w:r w:rsidR="008228CD">
        <w:t>brand assets</w:t>
      </w:r>
      <w:r w:rsidR="003E324C">
        <w:t xml:space="preserve"> such</w:t>
      </w:r>
      <w:r w:rsidR="00AB12A4">
        <w:t xml:space="preserve"> as</w:t>
      </w:r>
      <w:r w:rsidR="003E324C">
        <w:t xml:space="preserve"> logo files, photography, visual elements</w:t>
      </w:r>
      <w:r w:rsidR="008B443D">
        <w:t xml:space="preserve">, digital and </w:t>
      </w:r>
      <w:r w:rsidR="006A0EAD">
        <w:t>presentation templates</w:t>
      </w:r>
      <w:r w:rsidR="003E324C">
        <w:t xml:space="preserve"> etc.</w:t>
      </w:r>
      <w:r w:rsidR="001F5FA0">
        <w:t xml:space="preserve"> </w:t>
      </w:r>
      <w:r w:rsidR="006A0EAD">
        <w:t xml:space="preserve">An asset list shall be provided. </w:t>
      </w:r>
      <w:r w:rsidR="00A65FFF" w:rsidRPr="00B41911">
        <w:t>All artwork RAW files</w:t>
      </w:r>
      <w:r w:rsidR="006A0EAD">
        <w:t xml:space="preserve"> are</w:t>
      </w:r>
      <w:r w:rsidR="00A65FFF" w:rsidRPr="00B41911">
        <w:t xml:space="preserve"> to be delivered </w:t>
      </w:r>
      <w:r w:rsidR="00A65FFF">
        <w:t>to IPPF upon completion</w:t>
      </w:r>
      <w:r w:rsidR="00D16E26">
        <w:t>.</w:t>
      </w:r>
    </w:p>
    <w:p w14:paraId="6D2EC1D4" w14:textId="145A4C0A" w:rsidR="00D16E26" w:rsidRDefault="00D16E26" w:rsidP="00393F2A">
      <w:pPr>
        <w:pStyle w:val="ListParagraph"/>
        <w:numPr>
          <w:ilvl w:val="0"/>
          <w:numId w:val="2"/>
        </w:numPr>
      </w:pPr>
      <w:r>
        <w:t>Messaging frame</w:t>
      </w:r>
      <w:r w:rsidR="00823E96">
        <w:t xml:space="preserve">work </w:t>
      </w:r>
      <w:r w:rsidR="00577B28">
        <w:t>– clear and concise messaging guidelines</w:t>
      </w:r>
      <w:r w:rsidR="00150B75">
        <w:t xml:space="preserve"> that articulate the brand’s value proposition, key messages, tone of voice,</w:t>
      </w:r>
      <w:r w:rsidR="00182235">
        <w:t xml:space="preserve"> and communication style.</w:t>
      </w:r>
    </w:p>
    <w:p w14:paraId="67091199" w14:textId="7086B631" w:rsidR="00182235" w:rsidRDefault="00821DD3" w:rsidP="00393F2A">
      <w:pPr>
        <w:pStyle w:val="ListParagraph"/>
        <w:numPr>
          <w:ilvl w:val="0"/>
          <w:numId w:val="2"/>
        </w:numPr>
      </w:pPr>
      <w:r>
        <w:t>Naming options</w:t>
      </w:r>
    </w:p>
    <w:p w14:paraId="2F882EC0" w14:textId="77777777" w:rsidR="00393F2A" w:rsidRDefault="00393F2A" w:rsidP="00393F2A"/>
    <w:p w14:paraId="2FBA8B23" w14:textId="415EBA22" w:rsidR="00393F2A" w:rsidRDefault="00393F2A" w:rsidP="00393F2A">
      <w:pPr>
        <w:pStyle w:val="ListParagraph"/>
        <w:numPr>
          <w:ilvl w:val="0"/>
          <w:numId w:val="1"/>
        </w:numPr>
        <w:rPr>
          <w:b/>
          <w:bCs/>
        </w:rPr>
      </w:pPr>
      <w:r w:rsidRPr="00393F2A">
        <w:rPr>
          <w:b/>
          <w:bCs/>
        </w:rPr>
        <w:t>Timeline</w:t>
      </w:r>
    </w:p>
    <w:p w14:paraId="6A17707B" w14:textId="77777777" w:rsidR="00B52958" w:rsidRDefault="00B52958" w:rsidP="00B52958">
      <w:pPr>
        <w:pStyle w:val="ListParagraph"/>
        <w:rPr>
          <w:b/>
          <w:bCs/>
        </w:rPr>
      </w:pPr>
    </w:p>
    <w:p w14:paraId="23F4EAD6" w14:textId="6D76BD4B" w:rsidR="00B52958" w:rsidRPr="00B52958" w:rsidRDefault="00B52958" w:rsidP="00B52958">
      <w:r>
        <w:t>The comprehensive global rebrand will be a 1</w:t>
      </w:r>
      <w:r w:rsidR="00870DBE">
        <w:t>2</w:t>
      </w:r>
      <w:r>
        <w:t>-month process. Please note the</w:t>
      </w:r>
      <w:r w:rsidR="78C17975">
        <w:t xml:space="preserve"> design of the launch campaign is included in this; the delivery of the </w:t>
      </w:r>
      <w:r>
        <w:t>campaign is not included and will be accounted for and funded separately as an additional component.</w:t>
      </w:r>
    </w:p>
    <w:p w14:paraId="0C99EB4C" w14:textId="4A66EB3C" w:rsidR="00393F2A" w:rsidRDefault="00393F2A" w:rsidP="00393F2A">
      <w:pPr>
        <w:ind w:left="36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180"/>
      </w:tblGrid>
      <w:tr w:rsidR="00B2469D" w14:paraId="43E4D736" w14:textId="77777777" w:rsidTr="00B2469D">
        <w:tc>
          <w:tcPr>
            <w:tcW w:w="2470" w:type="dxa"/>
          </w:tcPr>
          <w:p w14:paraId="4767C74F" w14:textId="74929B67" w:rsidR="00B2469D" w:rsidRDefault="00B2469D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1</w:t>
            </w:r>
          </w:p>
        </w:tc>
        <w:tc>
          <w:tcPr>
            <w:tcW w:w="6180" w:type="dxa"/>
          </w:tcPr>
          <w:p w14:paraId="541D51F0" w14:textId="77777777" w:rsidR="00B2469D" w:rsidRPr="00B2469D" w:rsidRDefault="00B2469D" w:rsidP="00B2469D">
            <w:r w:rsidRPr="00B2469D">
              <w:t>Onboarding of agency</w:t>
            </w:r>
          </w:p>
          <w:p w14:paraId="03DD3E55" w14:textId="77777777" w:rsidR="00B2469D" w:rsidRPr="00B2469D" w:rsidRDefault="00B2469D" w:rsidP="00B2469D">
            <w:r w:rsidRPr="00B2469D">
              <w:t>Brand audit and competitor analysis and external consultations</w:t>
            </w:r>
          </w:p>
          <w:p w14:paraId="59ACFAB3" w14:textId="77777777" w:rsidR="00B2469D" w:rsidRDefault="00B2469D" w:rsidP="00B2469D">
            <w:r>
              <w:t>Strategy development</w:t>
            </w:r>
          </w:p>
          <w:p w14:paraId="7355F6AA" w14:textId="77777777" w:rsidR="00B2469D" w:rsidRDefault="00B2469D" w:rsidP="00393F2A">
            <w:pPr>
              <w:rPr>
                <w:b/>
                <w:bCs/>
              </w:rPr>
            </w:pPr>
          </w:p>
        </w:tc>
      </w:tr>
      <w:tr w:rsidR="00B2469D" w14:paraId="476AEB45" w14:textId="77777777" w:rsidTr="00B2469D">
        <w:tc>
          <w:tcPr>
            <w:tcW w:w="2470" w:type="dxa"/>
          </w:tcPr>
          <w:p w14:paraId="3D210B68" w14:textId="7B69862C" w:rsidR="00B2469D" w:rsidRDefault="00B2469D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2</w:t>
            </w:r>
          </w:p>
        </w:tc>
        <w:tc>
          <w:tcPr>
            <w:tcW w:w="6180" w:type="dxa"/>
          </w:tcPr>
          <w:p w14:paraId="5DEFDA16" w14:textId="77777777" w:rsidR="00B2469D" w:rsidRDefault="00B2469D" w:rsidP="00B2469D">
            <w:r>
              <w:t>Creative exploration</w:t>
            </w:r>
          </w:p>
          <w:p w14:paraId="37BF77FD" w14:textId="0EFFC822" w:rsidR="004C6F2D" w:rsidRPr="00F27C46" w:rsidRDefault="00B2469D" w:rsidP="00B2469D">
            <w:r>
              <w:t>Development of brand directions</w:t>
            </w:r>
          </w:p>
        </w:tc>
      </w:tr>
      <w:tr w:rsidR="00B2469D" w14:paraId="7108C0B4" w14:textId="77777777" w:rsidTr="00B2469D">
        <w:tc>
          <w:tcPr>
            <w:tcW w:w="2470" w:type="dxa"/>
          </w:tcPr>
          <w:p w14:paraId="6BD07F0B" w14:textId="67B0DB87" w:rsidR="00B2469D" w:rsidRDefault="00B2469D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3</w:t>
            </w:r>
          </w:p>
        </w:tc>
        <w:tc>
          <w:tcPr>
            <w:tcW w:w="6180" w:type="dxa"/>
          </w:tcPr>
          <w:p w14:paraId="38A6C60D" w14:textId="1FC75087" w:rsidR="00F27C46" w:rsidRPr="00C27003" w:rsidRDefault="00F27C46" w:rsidP="00393F2A">
            <w:r w:rsidRPr="00C27003">
              <w:t>Federation consultations and feedback</w:t>
            </w:r>
          </w:p>
        </w:tc>
      </w:tr>
      <w:tr w:rsidR="00B2469D" w14:paraId="703B111D" w14:textId="77777777" w:rsidTr="00B2469D">
        <w:tc>
          <w:tcPr>
            <w:tcW w:w="2470" w:type="dxa"/>
          </w:tcPr>
          <w:p w14:paraId="77D5AD60" w14:textId="172BD843" w:rsidR="00B2469D" w:rsidRDefault="00CB3C28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4</w:t>
            </w:r>
          </w:p>
        </w:tc>
        <w:tc>
          <w:tcPr>
            <w:tcW w:w="6180" w:type="dxa"/>
          </w:tcPr>
          <w:p w14:paraId="5B6942F8" w14:textId="316EBD7E" w:rsidR="00B2469D" w:rsidRPr="00C27003" w:rsidRDefault="00CB3C28" w:rsidP="00393F2A">
            <w:r w:rsidRPr="00C27003">
              <w:t>Refinement</w:t>
            </w:r>
            <w:r w:rsidR="008C2A9F" w:rsidRPr="00C27003">
              <w:t xml:space="preserve"> and language harmonisation</w:t>
            </w:r>
          </w:p>
        </w:tc>
      </w:tr>
      <w:tr w:rsidR="00B2469D" w14:paraId="6A09DCEA" w14:textId="77777777" w:rsidTr="00B2469D">
        <w:tc>
          <w:tcPr>
            <w:tcW w:w="2470" w:type="dxa"/>
          </w:tcPr>
          <w:p w14:paraId="250C6A64" w14:textId="4BD40101" w:rsidR="00B2469D" w:rsidRDefault="00C27003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Phase 5</w:t>
            </w:r>
          </w:p>
        </w:tc>
        <w:tc>
          <w:tcPr>
            <w:tcW w:w="6180" w:type="dxa"/>
          </w:tcPr>
          <w:p w14:paraId="685A44AF" w14:textId="5D1AC5CD" w:rsidR="00B2469D" w:rsidRPr="00C27003" w:rsidRDefault="00C27003" w:rsidP="00393F2A">
            <w:r w:rsidRPr="00C27003">
              <w:t>Brand design</w:t>
            </w:r>
            <w:r>
              <w:t xml:space="preserve"> options</w:t>
            </w:r>
            <w:r w:rsidRPr="00C27003">
              <w:t xml:space="preserve"> delivery and asset development</w:t>
            </w:r>
          </w:p>
        </w:tc>
      </w:tr>
    </w:tbl>
    <w:p w14:paraId="1D4DC93B" w14:textId="77777777" w:rsidR="00227119" w:rsidRDefault="00227119" w:rsidP="00227119">
      <w:pPr>
        <w:rPr>
          <w:b/>
          <w:bCs/>
        </w:rPr>
      </w:pPr>
    </w:p>
    <w:p w14:paraId="0F0180C3" w14:textId="77777777" w:rsidR="00227119" w:rsidRDefault="00227119" w:rsidP="00227119">
      <w:pPr>
        <w:rPr>
          <w:b/>
          <w:bCs/>
        </w:rPr>
      </w:pPr>
    </w:p>
    <w:p w14:paraId="1E7D19BF" w14:textId="22656208" w:rsidR="00B52958" w:rsidRPr="00227119" w:rsidRDefault="00B52958" w:rsidP="00227119">
      <w:pPr>
        <w:pStyle w:val="ListParagraph"/>
        <w:numPr>
          <w:ilvl w:val="0"/>
          <w:numId w:val="1"/>
        </w:numPr>
        <w:rPr>
          <w:b/>
          <w:bCs/>
        </w:rPr>
      </w:pPr>
      <w:r w:rsidRPr="00227119">
        <w:rPr>
          <w:b/>
          <w:bCs/>
        </w:rPr>
        <w:t>Budget</w:t>
      </w:r>
    </w:p>
    <w:p w14:paraId="454D7DC6" w14:textId="6C2BC092" w:rsidR="00227119" w:rsidRDefault="00227119" w:rsidP="00227119">
      <w:pPr>
        <w:ind w:left="360"/>
        <w:rPr>
          <w:b/>
          <w:bCs/>
        </w:rPr>
      </w:pPr>
    </w:p>
    <w:p w14:paraId="65879D45" w14:textId="648A7529" w:rsidR="00227119" w:rsidRDefault="0053118F" w:rsidP="0053118F">
      <w:pPr>
        <w:pStyle w:val="ListParagraph"/>
        <w:numPr>
          <w:ilvl w:val="0"/>
          <w:numId w:val="4"/>
        </w:numPr>
      </w:pPr>
      <w:r>
        <w:t xml:space="preserve">A ceiling of </w:t>
      </w:r>
      <w:r w:rsidR="00227119" w:rsidRPr="00227119">
        <w:t>$</w:t>
      </w:r>
      <w:r w:rsidR="00337E6C">
        <w:t>374</w:t>
      </w:r>
      <w:r w:rsidR="00227119" w:rsidRPr="00227119">
        <w:t>,000 including VAT and Tax if applicable</w:t>
      </w:r>
      <w:r w:rsidR="001312DF">
        <w:t>.</w:t>
      </w:r>
    </w:p>
    <w:p w14:paraId="03C26E43" w14:textId="78967580" w:rsidR="001312DF" w:rsidRDefault="001312DF" w:rsidP="0053118F">
      <w:pPr>
        <w:pStyle w:val="ListParagraph"/>
        <w:numPr>
          <w:ilvl w:val="0"/>
          <w:numId w:val="4"/>
        </w:numPr>
      </w:pPr>
      <w:r>
        <w:t xml:space="preserve">Payment terms to be agreed with </w:t>
      </w:r>
      <w:r w:rsidR="00E17621">
        <w:t xml:space="preserve">the </w:t>
      </w:r>
      <w:r>
        <w:t>successful agency.</w:t>
      </w:r>
    </w:p>
    <w:p w14:paraId="1F1A847F" w14:textId="77777777" w:rsidR="00C27003" w:rsidRDefault="00C27003" w:rsidP="005520FB"/>
    <w:p w14:paraId="2B675585" w14:textId="77777777" w:rsidR="00C27003" w:rsidRDefault="00C27003" w:rsidP="00227119">
      <w:pPr>
        <w:ind w:left="360"/>
      </w:pPr>
    </w:p>
    <w:p w14:paraId="31BDD766" w14:textId="28902D55" w:rsidR="0053118F" w:rsidRPr="00C27003" w:rsidRDefault="0053118F" w:rsidP="00C27003">
      <w:pPr>
        <w:pStyle w:val="ListParagraph"/>
        <w:numPr>
          <w:ilvl w:val="0"/>
          <w:numId w:val="1"/>
        </w:numPr>
        <w:rPr>
          <w:b/>
          <w:bCs/>
        </w:rPr>
      </w:pPr>
      <w:r w:rsidRPr="00C27003">
        <w:rPr>
          <w:b/>
          <w:bCs/>
        </w:rPr>
        <w:t>Agency requirements</w:t>
      </w:r>
    </w:p>
    <w:p w14:paraId="6E48324E" w14:textId="77777777" w:rsidR="00807746" w:rsidRDefault="00807746" w:rsidP="00807746">
      <w:pPr>
        <w:pStyle w:val="ListParagraph"/>
        <w:rPr>
          <w:b/>
          <w:bCs/>
        </w:rPr>
      </w:pPr>
    </w:p>
    <w:p w14:paraId="6AC59355" w14:textId="2A29A6D6" w:rsidR="0053118F" w:rsidRPr="0082293B" w:rsidRDefault="0053118F" w:rsidP="0053118F">
      <w:pPr>
        <w:pStyle w:val="ListParagraph"/>
        <w:numPr>
          <w:ilvl w:val="0"/>
          <w:numId w:val="4"/>
        </w:numPr>
      </w:pPr>
      <w:r w:rsidRPr="0082293B">
        <w:t xml:space="preserve">Must have </w:t>
      </w:r>
      <w:r w:rsidR="00171527" w:rsidRPr="0082293B">
        <w:t>a minimum of 10 years established as a creative agency</w:t>
      </w:r>
      <w:r w:rsidR="00D74CC4">
        <w:t>.</w:t>
      </w:r>
    </w:p>
    <w:p w14:paraId="11DA2F1D" w14:textId="232F5D3D" w:rsidR="00171527" w:rsidRPr="0082293B" w:rsidRDefault="002F3196" w:rsidP="0053118F">
      <w:pPr>
        <w:pStyle w:val="ListParagraph"/>
        <w:numPr>
          <w:ilvl w:val="0"/>
          <w:numId w:val="4"/>
        </w:numPr>
      </w:pPr>
      <w:r>
        <w:t xml:space="preserve">Agencies based in the </w:t>
      </w:r>
      <w:r w:rsidR="00BA444C">
        <w:t>G</w:t>
      </w:r>
      <w:r>
        <w:t xml:space="preserve">lobal </w:t>
      </w:r>
      <w:r w:rsidR="00BA444C">
        <w:t>S</w:t>
      </w:r>
      <w:r>
        <w:t>outh will be prioritised</w:t>
      </w:r>
      <w:r w:rsidR="0082293B">
        <w:t xml:space="preserve">. All agencies applying must have </w:t>
      </w:r>
      <w:r w:rsidR="21FC74CC">
        <w:t>established global office in diverse geographical locations.</w:t>
      </w:r>
    </w:p>
    <w:p w14:paraId="51F11503" w14:textId="5B4CB498" w:rsidR="0082293B" w:rsidRDefault="0082293B" w:rsidP="0053118F">
      <w:pPr>
        <w:pStyle w:val="ListParagraph"/>
        <w:numPr>
          <w:ilvl w:val="0"/>
          <w:numId w:val="4"/>
        </w:numPr>
      </w:pPr>
      <w:r w:rsidRPr="00D74CC4">
        <w:t>Can demonstrate</w:t>
      </w:r>
      <w:r w:rsidR="00B16522">
        <w:t xml:space="preserve"> a minimum of</w:t>
      </w:r>
      <w:r w:rsidRPr="00D74CC4">
        <w:t xml:space="preserve"> 2 case studies of a rebrand </w:t>
      </w:r>
      <w:r w:rsidR="00B16522">
        <w:t xml:space="preserve">at a global level </w:t>
      </w:r>
      <w:r w:rsidRPr="00D74CC4">
        <w:t>(does not need to be an INGO b</w:t>
      </w:r>
      <w:r w:rsidR="00D74CC4" w:rsidRPr="00D74CC4">
        <w:t>ut would be ideal to have experience working with non-profits).</w:t>
      </w:r>
    </w:p>
    <w:p w14:paraId="57E8B66F" w14:textId="381231E0" w:rsidR="00387E14" w:rsidRDefault="00387E14" w:rsidP="0053118F">
      <w:pPr>
        <w:pStyle w:val="ListParagraph"/>
        <w:numPr>
          <w:ilvl w:val="0"/>
          <w:numId w:val="4"/>
        </w:numPr>
      </w:pPr>
      <w:r>
        <w:t>Must have experience with storytelling</w:t>
      </w:r>
      <w:r w:rsidR="00686A4F">
        <w:t>.</w:t>
      </w:r>
    </w:p>
    <w:p w14:paraId="2EEAE729" w14:textId="57B8F75D" w:rsidR="008F4793" w:rsidRDefault="008F4793" w:rsidP="0053118F">
      <w:pPr>
        <w:pStyle w:val="ListParagraph"/>
        <w:numPr>
          <w:ilvl w:val="0"/>
          <w:numId w:val="4"/>
        </w:numPr>
      </w:pPr>
      <w:r>
        <w:t xml:space="preserve">Must have proven experience </w:t>
      </w:r>
      <w:r w:rsidR="00790BE6">
        <w:t>in human-centred design,</w:t>
      </w:r>
      <w:r>
        <w:t xml:space="preserve"> research and group consultations.</w:t>
      </w:r>
    </w:p>
    <w:p w14:paraId="618A6B5F" w14:textId="46F12F02" w:rsidR="004356B0" w:rsidRDefault="00701F45" w:rsidP="0053118F">
      <w:pPr>
        <w:pStyle w:val="ListParagraph"/>
        <w:numPr>
          <w:ilvl w:val="0"/>
          <w:numId w:val="4"/>
        </w:numPr>
      </w:pPr>
      <w:r>
        <w:t>Must have a global lens</w:t>
      </w:r>
      <w:r w:rsidR="009F04EF">
        <w:t xml:space="preserve"> and be culturally sensitive</w:t>
      </w:r>
      <w:r w:rsidR="006B3AE5">
        <w:t>.</w:t>
      </w:r>
    </w:p>
    <w:p w14:paraId="57F70D8D" w14:textId="52AE460D" w:rsidR="00D74CC4" w:rsidRDefault="00D74CC4" w:rsidP="0053118F">
      <w:pPr>
        <w:pStyle w:val="ListParagraph"/>
        <w:numPr>
          <w:ilvl w:val="0"/>
          <w:numId w:val="4"/>
        </w:numPr>
      </w:pPr>
      <w:r>
        <w:t xml:space="preserve">Must adhere to IPPF’s </w:t>
      </w:r>
      <w:r w:rsidR="356B3B34">
        <w:t>C</w:t>
      </w:r>
      <w:r>
        <w:t xml:space="preserve">ode of </w:t>
      </w:r>
      <w:r w:rsidR="5C531756">
        <w:t>C</w:t>
      </w:r>
      <w:r>
        <w:t>onduct</w:t>
      </w:r>
      <w:r w:rsidR="3477897D">
        <w:t xml:space="preserve"> and Safeguarding Policy</w:t>
      </w:r>
    </w:p>
    <w:p w14:paraId="02C24116" w14:textId="2971B8EA" w:rsidR="008F4793" w:rsidRDefault="008F4793" w:rsidP="0053118F">
      <w:pPr>
        <w:pStyle w:val="ListParagraph"/>
        <w:numPr>
          <w:ilvl w:val="0"/>
          <w:numId w:val="4"/>
        </w:numPr>
      </w:pPr>
      <w:r>
        <w:t>Can work across key IPPF languages: English, French, Spanish</w:t>
      </w:r>
      <w:r w:rsidR="0041251A">
        <w:t xml:space="preserve"> and</w:t>
      </w:r>
      <w:r>
        <w:t xml:space="preserve"> Arabic when required</w:t>
      </w:r>
      <w:r w:rsidR="00ED6CFA">
        <w:t>.</w:t>
      </w:r>
    </w:p>
    <w:p w14:paraId="2916C8E4" w14:textId="774FFEB1" w:rsidR="00B16522" w:rsidRDefault="00B16522" w:rsidP="00B16522"/>
    <w:p w14:paraId="52EACEFA" w14:textId="62BEC448" w:rsidR="00B16522" w:rsidRDefault="00807746" w:rsidP="00B16522">
      <w:pPr>
        <w:pStyle w:val="ListParagraph"/>
        <w:numPr>
          <w:ilvl w:val="0"/>
          <w:numId w:val="1"/>
        </w:numPr>
        <w:rPr>
          <w:b/>
          <w:bCs/>
        </w:rPr>
      </w:pPr>
      <w:r w:rsidRPr="00807746">
        <w:rPr>
          <w:b/>
          <w:bCs/>
        </w:rPr>
        <w:t>How to apply</w:t>
      </w:r>
    </w:p>
    <w:p w14:paraId="4B7CF85D" w14:textId="190292E0" w:rsidR="00807746" w:rsidRDefault="00807746" w:rsidP="00807746">
      <w:pPr>
        <w:rPr>
          <w:b/>
          <w:bCs/>
        </w:rPr>
      </w:pPr>
    </w:p>
    <w:p w14:paraId="12C9651C" w14:textId="7C368B27" w:rsidR="00807746" w:rsidRPr="004F3BEA" w:rsidRDefault="00807746" w:rsidP="00807746">
      <w:r>
        <w:t>Please s</w:t>
      </w:r>
      <w:r w:rsidR="00D7199E">
        <w:t>ubmit a proposal outlining your approach</w:t>
      </w:r>
      <w:r w:rsidR="00EE0F60">
        <w:t xml:space="preserve"> and experience, including cost breakdown and </w:t>
      </w:r>
      <w:r w:rsidR="00631C63">
        <w:t xml:space="preserve">relevant information about your agency, tailored to meet our requirements </w:t>
      </w:r>
      <w:r w:rsidR="00753A23">
        <w:t>to</w:t>
      </w:r>
      <w:r w:rsidR="00631C63">
        <w:t xml:space="preserve"> </w:t>
      </w:r>
      <w:hyperlink r:id="rId8" w:history="1">
        <w:r w:rsidR="000E1D30" w:rsidRPr="007408EF">
          <w:rPr>
            <w:rStyle w:val="Hyperlink"/>
          </w:rPr>
          <w:t>rebrand@ippf.org</w:t>
        </w:r>
      </w:hyperlink>
      <w:r w:rsidR="008F4793">
        <w:t xml:space="preserve"> </w:t>
      </w:r>
    </w:p>
    <w:p w14:paraId="2022269A" w14:textId="1D5217F8" w:rsidR="00753A23" w:rsidRDefault="00753A23" w:rsidP="00807746">
      <w:pPr>
        <w:rPr>
          <w:b/>
          <w:bCs/>
        </w:rPr>
      </w:pPr>
    </w:p>
    <w:p w14:paraId="716E5138" w14:textId="73EA0E55" w:rsidR="00753A23" w:rsidRPr="00807746" w:rsidRDefault="004D270F" w:rsidP="00807746">
      <w:pPr>
        <w:rPr>
          <w:b/>
          <w:bCs/>
        </w:rPr>
      </w:pPr>
      <w:r>
        <w:rPr>
          <w:b/>
          <w:bCs/>
        </w:rPr>
        <w:t>The deadline</w:t>
      </w:r>
      <w:r w:rsidR="00753A23">
        <w:rPr>
          <w:b/>
          <w:bCs/>
        </w:rPr>
        <w:t xml:space="preserve"> for </w:t>
      </w:r>
      <w:r w:rsidR="00650057">
        <w:rPr>
          <w:b/>
          <w:bCs/>
        </w:rPr>
        <w:t>proposal</w:t>
      </w:r>
      <w:r w:rsidR="00753A23">
        <w:rPr>
          <w:b/>
          <w:bCs/>
        </w:rPr>
        <w:t xml:space="preserve">s is </w:t>
      </w:r>
      <w:r w:rsidR="00CD533C">
        <w:rPr>
          <w:b/>
          <w:bCs/>
        </w:rPr>
        <w:t>Wednesday 22nd</w:t>
      </w:r>
      <w:r w:rsidR="004C7FFE">
        <w:rPr>
          <w:b/>
          <w:bCs/>
        </w:rPr>
        <w:t xml:space="preserve"> May 2024</w:t>
      </w:r>
      <w:r w:rsidR="004F3BEA">
        <w:rPr>
          <w:b/>
          <w:bCs/>
        </w:rPr>
        <w:t>.</w:t>
      </w:r>
    </w:p>
    <w:p w14:paraId="7F9A764B" w14:textId="5344079E" w:rsidR="00807746" w:rsidRDefault="00807746" w:rsidP="00807746">
      <w:pPr>
        <w:rPr>
          <w:b/>
          <w:bCs/>
        </w:rPr>
      </w:pPr>
    </w:p>
    <w:p w14:paraId="73E52C03" w14:textId="77777777" w:rsidR="00807746" w:rsidRPr="00807746" w:rsidRDefault="00807746" w:rsidP="00807746">
      <w:pPr>
        <w:rPr>
          <w:b/>
          <w:bCs/>
        </w:rPr>
      </w:pPr>
    </w:p>
    <w:sectPr w:rsidR="00807746" w:rsidRPr="00807746" w:rsidSect="00A965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2D1C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8101B"/>
    <w:multiLevelType w:val="hybridMultilevel"/>
    <w:tmpl w:val="C82CF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DA5F95"/>
    <w:multiLevelType w:val="hybridMultilevel"/>
    <w:tmpl w:val="5342A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D231C6"/>
    <w:multiLevelType w:val="hybridMultilevel"/>
    <w:tmpl w:val="28E68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00279">
    <w:abstractNumId w:val="3"/>
  </w:num>
  <w:num w:numId="2" w16cid:durableId="1027606850">
    <w:abstractNumId w:val="2"/>
  </w:num>
  <w:num w:numId="3" w16cid:durableId="1291744721">
    <w:abstractNumId w:val="0"/>
  </w:num>
  <w:num w:numId="4" w16cid:durableId="125412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D"/>
    <w:rsid w:val="00005034"/>
    <w:rsid w:val="00027E2B"/>
    <w:rsid w:val="0004478B"/>
    <w:rsid w:val="000931EF"/>
    <w:rsid w:val="000A3172"/>
    <w:rsid w:val="000A3F1C"/>
    <w:rsid w:val="000A59E5"/>
    <w:rsid w:val="000D1BC0"/>
    <w:rsid w:val="000D37AB"/>
    <w:rsid w:val="000E1D30"/>
    <w:rsid w:val="000F601F"/>
    <w:rsid w:val="00103B91"/>
    <w:rsid w:val="00113FAB"/>
    <w:rsid w:val="001312DF"/>
    <w:rsid w:val="00133CEB"/>
    <w:rsid w:val="00137A0E"/>
    <w:rsid w:val="00150B75"/>
    <w:rsid w:val="00157823"/>
    <w:rsid w:val="001603B0"/>
    <w:rsid w:val="001615A0"/>
    <w:rsid w:val="00171527"/>
    <w:rsid w:val="001722CA"/>
    <w:rsid w:val="00177312"/>
    <w:rsid w:val="00182235"/>
    <w:rsid w:val="00187BBA"/>
    <w:rsid w:val="001A1104"/>
    <w:rsid w:val="001B6835"/>
    <w:rsid w:val="001C0A76"/>
    <w:rsid w:val="001F1067"/>
    <w:rsid w:val="001F5FA0"/>
    <w:rsid w:val="0020184B"/>
    <w:rsid w:val="00201E6E"/>
    <w:rsid w:val="00227119"/>
    <w:rsid w:val="0024668A"/>
    <w:rsid w:val="0026161E"/>
    <w:rsid w:val="00282A03"/>
    <w:rsid w:val="002C4BA9"/>
    <w:rsid w:val="002E6A75"/>
    <w:rsid w:val="002F3196"/>
    <w:rsid w:val="003051C8"/>
    <w:rsid w:val="003332FC"/>
    <w:rsid w:val="00337E6C"/>
    <w:rsid w:val="003511D5"/>
    <w:rsid w:val="003525AA"/>
    <w:rsid w:val="00356DF2"/>
    <w:rsid w:val="00381B04"/>
    <w:rsid w:val="00386239"/>
    <w:rsid w:val="00387E14"/>
    <w:rsid w:val="00393F2A"/>
    <w:rsid w:val="003B4540"/>
    <w:rsid w:val="003B66CC"/>
    <w:rsid w:val="003C5274"/>
    <w:rsid w:val="003D4710"/>
    <w:rsid w:val="003E324C"/>
    <w:rsid w:val="003F673A"/>
    <w:rsid w:val="00402FC1"/>
    <w:rsid w:val="00410D43"/>
    <w:rsid w:val="0041251A"/>
    <w:rsid w:val="004318F0"/>
    <w:rsid w:val="004356B0"/>
    <w:rsid w:val="0044157A"/>
    <w:rsid w:val="00444F47"/>
    <w:rsid w:val="0046539E"/>
    <w:rsid w:val="00475D92"/>
    <w:rsid w:val="00481658"/>
    <w:rsid w:val="004A68AE"/>
    <w:rsid w:val="004C6F2D"/>
    <w:rsid w:val="004C7FFE"/>
    <w:rsid w:val="004D270F"/>
    <w:rsid w:val="004E1F0D"/>
    <w:rsid w:val="004F3BEA"/>
    <w:rsid w:val="0052525B"/>
    <w:rsid w:val="0053118F"/>
    <w:rsid w:val="00533B75"/>
    <w:rsid w:val="005520FB"/>
    <w:rsid w:val="00552B73"/>
    <w:rsid w:val="0055698E"/>
    <w:rsid w:val="005637CA"/>
    <w:rsid w:val="005752EE"/>
    <w:rsid w:val="00577B28"/>
    <w:rsid w:val="005A72DB"/>
    <w:rsid w:val="005B6081"/>
    <w:rsid w:val="005D1CFC"/>
    <w:rsid w:val="005F5B3B"/>
    <w:rsid w:val="00607FD1"/>
    <w:rsid w:val="00613EE6"/>
    <w:rsid w:val="00631C63"/>
    <w:rsid w:val="00650057"/>
    <w:rsid w:val="00686A4F"/>
    <w:rsid w:val="006A0EAD"/>
    <w:rsid w:val="006A186D"/>
    <w:rsid w:val="006B1087"/>
    <w:rsid w:val="006B3AE5"/>
    <w:rsid w:val="006C0824"/>
    <w:rsid w:val="006C6D28"/>
    <w:rsid w:val="006C7A46"/>
    <w:rsid w:val="006E2592"/>
    <w:rsid w:val="006E4ECD"/>
    <w:rsid w:val="00701F45"/>
    <w:rsid w:val="00707E23"/>
    <w:rsid w:val="0071084E"/>
    <w:rsid w:val="00714681"/>
    <w:rsid w:val="00735C78"/>
    <w:rsid w:val="007378F9"/>
    <w:rsid w:val="00753A23"/>
    <w:rsid w:val="007659D5"/>
    <w:rsid w:val="00775BDE"/>
    <w:rsid w:val="00787C18"/>
    <w:rsid w:val="00790BE6"/>
    <w:rsid w:val="007C51FF"/>
    <w:rsid w:val="007C5EC4"/>
    <w:rsid w:val="007E0DB6"/>
    <w:rsid w:val="007F084E"/>
    <w:rsid w:val="007F2C2C"/>
    <w:rsid w:val="00807746"/>
    <w:rsid w:val="00812812"/>
    <w:rsid w:val="00813B9C"/>
    <w:rsid w:val="00817FF1"/>
    <w:rsid w:val="00820B9B"/>
    <w:rsid w:val="00821DD3"/>
    <w:rsid w:val="008221F0"/>
    <w:rsid w:val="008228CD"/>
    <w:rsid w:val="0082293B"/>
    <w:rsid w:val="00823E96"/>
    <w:rsid w:val="008427AA"/>
    <w:rsid w:val="00870DBE"/>
    <w:rsid w:val="00871015"/>
    <w:rsid w:val="00883F14"/>
    <w:rsid w:val="008A3369"/>
    <w:rsid w:val="008B443D"/>
    <w:rsid w:val="008C2A9F"/>
    <w:rsid w:val="008C63AB"/>
    <w:rsid w:val="008E0926"/>
    <w:rsid w:val="008F4793"/>
    <w:rsid w:val="00903695"/>
    <w:rsid w:val="0091583A"/>
    <w:rsid w:val="009207DE"/>
    <w:rsid w:val="009222CF"/>
    <w:rsid w:val="00947DE1"/>
    <w:rsid w:val="0095291B"/>
    <w:rsid w:val="00953024"/>
    <w:rsid w:val="00953907"/>
    <w:rsid w:val="009969A7"/>
    <w:rsid w:val="009A6F11"/>
    <w:rsid w:val="009B06B5"/>
    <w:rsid w:val="009E0DAA"/>
    <w:rsid w:val="009E491A"/>
    <w:rsid w:val="009F04EF"/>
    <w:rsid w:val="00A02728"/>
    <w:rsid w:val="00A03BC5"/>
    <w:rsid w:val="00A36828"/>
    <w:rsid w:val="00A37643"/>
    <w:rsid w:val="00A65196"/>
    <w:rsid w:val="00A65FFF"/>
    <w:rsid w:val="00A803C9"/>
    <w:rsid w:val="00A96511"/>
    <w:rsid w:val="00AA6590"/>
    <w:rsid w:val="00AB12A4"/>
    <w:rsid w:val="00AB1BEB"/>
    <w:rsid w:val="00AC5385"/>
    <w:rsid w:val="00AE1A69"/>
    <w:rsid w:val="00AF1432"/>
    <w:rsid w:val="00AF5097"/>
    <w:rsid w:val="00AF638B"/>
    <w:rsid w:val="00B00316"/>
    <w:rsid w:val="00B16522"/>
    <w:rsid w:val="00B23369"/>
    <w:rsid w:val="00B2469D"/>
    <w:rsid w:val="00B41911"/>
    <w:rsid w:val="00B41FC4"/>
    <w:rsid w:val="00B45001"/>
    <w:rsid w:val="00B46044"/>
    <w:rsid w:val="00B4782E"/>
    <w:rsid w:val="00B52958"/>
    <w:rsid w:val="00B54300"/>
    <w:rsid w:val="00B62C4F"/>
    <w:rsid w:val="00B660D2"/>
    <w:rsid w:val="00B75B0A"/>
    <w:rsid w:val="00BA444C"/>
    <w:rsid w:val="00BA5BCA"/>
    <w:rsid w:val="00BB2515"/>
    <w:rsid w:val="00BD0ACC"/>
    <w:rsid w:val="00BD0E2E"/>
    <w:rsid w:val="00BD26C8"/>
    <w:rsid w:val="00BD673D"/>
    <w:rsid w:val="00BE1D17"/>
    <w:rsid w:val="00C22DAC"/>
    <w:rsid w:val="00C27003"/>
    <w:rsid w:val="00C32E33"/>
    <w:rsid w:val="00C6604E"/>
    <w:rsid w:val="00C66D33"/>
    <w:rsid w:val="00C73633"/>
    <w:rsid w:val="00C826D3"/>
    <w:rsid w:val="00CB3C28"/>
    <w:rsid w:val="00CC7F80"/>
    <w:rsid w:val="00CD4206"/>
    <w:rsid w:val="00CD533C"/>
    <w:rsid w:val="00CE2614"/>
    <w:rsid w:val="00D04C6A"/>
    <w:rsid w:val="00D169AE"/>
    <w:rsid w:val="00D16E26"/>
    <w:rsid w:val="00D26180"/>
    <w:rsid w:val="00D45C72"/>
    <w:rsid w:val="00D60669"/>
    <w:rsid w:val="00D63F8C"/>
    <w:rsid w:val="00D7199E"/>
    <w:rsid w:val="00D74CC4"/>
    <w:rsid w:val="00D75CBE"/>
    <w:rsid w:val="00DB5E2F"/>
    <w:rsid w:val="00DC0BAC"/>
    <w:rsid w:val="00DD412A"/>
    <w:rsid w:val="00DD581E"/>
    <w:rsid w:val="00DE4162"/>
    <w:rsid w:val="00E03495"/>
    <w:rsid w:val="00E17621"/>
    <w:rsid w:val="00E37016"/>
    <w:rsid w:val="00E408F2"/>
    <w:rsid w:val="00E519C1"/>
    <w:rsid w:val="00E60F66"/>
    <w:rsid w:val="00E66E38"/>
    <w:rsid w:val="00E802F3"/>
    <w:rsid w:val="00E83AC2"/>
    <w:rsid w:val="00EC4AD8"/>
    <w:rsid w:val="00EC7BBE"/>
    <w:rsid w:val="00ED3C4B"/>
    <w:rsid w:val="00ED6CFA"/>
    <w:rsid w:val="00EE0F60"/>
    <w:rsid w:val="00F27C46"/>
    <w:rsid w:val="00F314A9"/>
    <w:rsid w:val="00F37F36"/>
    <w:rsid w:val="00F903C3"/>
    <w:rsid w:val="00F92DF8"/>
    <w:rsid w:val="00F953A4"/>
    <w:rsid w:val="00F97A0B"/>
    <w:rsid w:val="00F97F9B"/>
    <w:rsid w:val="00FA20C0"/>
    <w:rsid w:val="00FA40C6"/>
    <w:rsid w:val="00FA7B5C"/>
    <w:rsid w:val="00FA7E96"/>
    <w:rsid w:val="00FB7D86"/>
    <w:rsid w:val="00FC4D45"/>
    <w:rsid w:val="00FC79EB"/>
    <w:rsid w:val="0283C785"/>
    <w:rsid w:val="032A0E8B"/>
    <w:rsid w:val="0344D517"/>
    <w:rsid w:val="04CE7811"/>
    <w:rsid w:val="06074FA2"/>
    <w:rsid w:val="0712E8DE"/>
    <w:rsid w:val="07B100DB"/>
    <w:rsid w:val="099A6150"/>
    <w:rsid w:val="0CF6666F"/>
    <w:rsid w:val="0E3AD9FF"/>
    <w:rsid w:val="0EB35650"/>
    <w:rsid w:val="0EB92256"/>
    <w:rsid w:val="0F24BDD3"/>
    <w:rsid w:val="0FCC1FA2"/>
    <w:rsid w:val="103CF94A"/>
    <w:rsid w:val="108D2D34"/>
    <w:rsid w:val="12670418"/>
    <w:rsid w:val="13B49688"/>
    <w:rsid w:val="1412336E"/>
    <w:rsid w:val="14359E01"/>
    <w:rsid w:val="1467E336"/>
    <w:rsid w:val="1727B05C"/>
    <w:rsid w:val="1728701B"/>
    <w:rsid w:val="19B440CE"/>
    <w:rsid w:val="1B3D6DFA"/>
    <w:rsid w:val="1C92A93D"/>
    <w:rsid w:val="1D4D2B0A"/>
    <w:rsid w:val="20C797AC"/>
    <w:rsid w:val="21FC74CC"/>
    <w:rsid w:val="223C6962"/>
    <w:rsid w:val="22B3A586"/>
    <w:rsid w:val="2563E91B"/>
    <w:rsid w:val="258843F0"/>
    <w:rsid w:val="25D5DD8C"/>
    <w:rsid w:val="267C2492"/>
    <w:rsid w:val="2696EB1E"/>
    <w:rsid w:val="26C35BB2"/>
    <w:rsid w:val="27813C28"/>
    <w:rsid w:val="2C270CAC"/>
    <w:rsid w:val="2D4EE237"/>
    <w:rsid w:val="32AC4138"/>
    <w:rsid w:val="32C958CF"/>
    <w:rsid w:val="331E35A9"/>
    <w:rsid w:val="34367120"/>
    <w:rsid w:val="3477897D"/>
    <w:rsid w:val="356B3B34"/>
    <w:rsid w:val="400422E6"/>
    <w:rsid w:val="417EC93D"/>
    <w:rsid w:val="45E8479C"/>
    <w:rsid w:val="45E9075B"/>
    <w:rsid w:val="46DC283E"/>
    <w:rsid w:val="46F6EECA"/>
    <w:rsid w:val="48DA59F7"/>
    <w:rsid w:val="49444CBB"/>
    <w:rsid w:val="49CE3A99"/>
    <w:rsid w:val="49E90125"/>
    <w:rsid w:val="4B29DC81"/>
    <w:rsid w:val="4B72A41F"/>
    <w:rsid w:val="4BC2D809"/>
    <w:rsid w:val="4C961C91"/>
    <w:rsid w:val="4CAB7BB0"/>
    <w:rsid w:val="4DC7E714"/>
    <w:rsid w:val="5084440C"/>
    <w:rsid w:val="537E804D"/>
    <w:rsid w:val="55C42BBB"/>
    <w:rsid w:val="57315942"/>
    <w:rsid w:val="57888727"/>
    <w:rsid w:val="5AB9CEF5"/>
    <w:rsid w:val="5B983D53"/>
    <w:rsid w:val="5C0F7977"/>
    <w:rsid w:val="5C531756"/>
    <w:rsid w:val="5CE5E628"/>
    <w:rsid w:val="5F31B17D"/>
    <w:rsid w:val="5F57271B"/>
    <w:rsid w:val="6004F605"/>
    <w:rsid w:val="61CC95F3"/>
    <w:rsid w:val="635638ED"/>
    <w:rsid w:val="673C2BEA"/>
    <w:rsid w:val="6749CDE4"/>
    <w:rsid w:val="6900CD58"/>
    <w:rsid w:val="699DF773"/>
    <w:rsid w:val="6AA032B6"/>
    <w:rsid w:val="6B614048"/>
    <w:rsid w:val="6D3B172C"/>
    <w:rsid w:val="6EC4BA26"/>
    <w:rsid w:val="6F14EE10"/>
    <w:rsid w:val="7207006B"/>
    <w:rsid w:val="739CBD1D"/>
    <w:rsid w:val="759CBF7E"/>
    <w:rsid w:val="75A26DAA"/>
    <w:rsid w:val="78C17975"/>
    <w:rsid w:val="7E38E27E"/>
    <w:rsid w:val="7F44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DC1B6"/>
  <w14:defaultImageDpi w14:val="32767"/>
  <w15:chartTrackingRefBased/>
  <w15:docId w15:val="{85F987DC-207B-4956-8188-586DC848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4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540"/>
    <w:pPr>
      <w:ind w:left="720"/>
      <w:contextualSpacing/>
    </w:pPr>
  </w:style>
  <w:style w:type="paragraph" w:customStyle="1" w:styleId="Default">
    <w:name w:val="Default"/>
    <w:rsid w:val="00B4191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table" w:styleId="TableGrid">
    <w:name w:val="Table Grid"/>
    <w:basedOn w:val="TableNormal"/>
    <w:uiPriority w:val="39"/>
    <w:rsid w:val="00B4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and@ippf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ppf.org/resource/2023-2028-strate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C5A76-F264-3A4E-9C44-9A9FCA15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752</Words>
  <Characters>4386</Characters>
  <Application>Microsoft Office Word</Application>
  <DocSecurity>0</DocSecurity>
  <Lines>127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Khan</dc:creator>
  <cp:keywords/>
  <dc:description/>
  <cp:lastModifiedBy>Renee Sewe</cp:lastModifiedBy>
  <cp:revision>181</cp:revision>
  <dcterms:created xsi:type="dcterms:W3CDTF">2024-04-29T07:57:00Z</dcterms:created>
  <dcterms:modified xsi:type="dcterms:W3CDTF">2024-05-07T11:58:00Z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6f9a951e2b3fe9c8ab6e460470bc26ad5fe5e3b45e5511a55c3ecd73dab9cbe0</vt:lpwstr>
  </property>
</Properties>
</file>