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3282" w14:textId="77777777" w:rsidR="004D2E51" w:rsidRPr="004D2E51" w:rsidRDefault="004D2E51" w:rsidP="004D2E51">
      <w:pPr>
        <w:rPr>
          <w:u w:val="single"/>
        </w:rPr>
      </w:pPr>
    </w:p>
    <w:p w14:paraId="653C5C4C" w14:textId="44DBA9CA" w:rsidR="004D2E51" w:rsidRPr="004D2E51" w:rsidRDefault="004D2E51" w:rsidP="004D2E51">
      <w:pPr>
        <w:jc w:val="center"/>
        <w:rPr>
          <w:b/>
          <w:bCs/>
        </w:rPr>
      </w:pPr>
      <w:r w:rsidRPr="004D2E51">
        <w:rPr>
          <w:b/>
          <w:bCs/>
        </w:rPr>
        <w:t>Contractor Application – Terms of Reference</w:t>
      </w:r>
    </w:p>
    <w:p w14:paraId="12564FED" w14:textId="45D5B99B" w:rsidR="00BF79B8" w:rsidRDefault="004D2E51" w:rsidP="004D2E51">
      <w:r w:rsidRPr="004D2E51">
        <w:rPr>
          <w:u w:val="single"/>
        </w:rPr>
        <w:t>Project</w:t>
      </w:r>
      <w:r w:rsidRPr="004D2E51">
        <w:t xml:space="preserve">: IPPF </w:t>
      </w:r>
      <w:r w:rsidR="001828D7">
        <w:t>Quality of Care Toolkit</w:t>
      </w:r>
      <w:r w:rsidRPr="004D2E51">
        <w:t xml:space="preserve"> – Digital Version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6568"/>
      </w:tblGrid>
      <w:tr w:rsidR="004D2E51" w14:paraId="61DC3F78" w14:textId="77777777" w:rsidTr="3B890775">
        <w:tc>
          <w:tcPr>
            <w:tcW w:w="2448" w:type="dxa"/>
          </w:tcPr>
          <w:p w14:paraId="58D335ED" w14:textId="55EF36EB" w:rsidR="004D2E51" w:rsidRPr="004D2E51" w:rsidRDefault="004D2E51" w:rsidP="004D2E51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rPr>
                <w:u w:val="single"/>
              </w:rPr>
              <w:t>Background</w:t>
            </w:r>
          </w:p>
        </w:tc>
        <w:tc>
          <w:tcPr>
            <w:tcW w:w="6568" w:type="dxa"/>
          </w:tcPr>
          <w:p w14:paraId="23E6D2B7" w14:textId="77777777" w:rsidR="004D2E51" w:rsidRPr="004D2E51" w:rsidRDefault="004D2E51" w:rsidP="004D2E51">
            <w:pPr>
              <w:rPr>
                <w:u w:val="single"/>
              </w:rPr>
            </w:pPr>
            <w:r w:rsidRPr="004D2E51">
              <w:rPr>
                <w:u w:val="single"/>
              </w:rPr>
              <w:t>Overview of IPPF</w:t>
            </w:r>
          </w:p>
          <w:p w14:paraId="692E7378" w14:textId="537DABB6" w:rsidR="004D2E51" w:rsidRDefault="004D2E51" w:rsidP="004D2E51">
            <w:r w:rsidRPr="004D2E51">
              <w:t>IPPF is a global service provider and a lead</w:t>
            </w:r>
            <w:r w:rsidR="005C33F2">
              <w:t>ing</w:t>
            </w:r>
            <w:r w:rsidRPr="004D2E51">
              <w:t xml:space="preserve"> advocate of sexual and reproductive health and rights (SRHR) for all. IPPF provides SRHR services in </w:t>
            </w:r>
            <w:r w:rsidR="00523D7D">
              <w:t>151</w:t>
            </w:r>
            <w:r w:rsidRPr="004D2E51">
              <w:t xml:space="preserve"> countries and runs approximately </w:t>
            </w:r>
            <w:r w:rsidR="00523D7D" w:rsidRPr="00523D7D">
              <w:t>28</w:t>
            </w:r>
            <w:r w:rsidRPr="00523D7D">
              <w:t>,000</w:t>
            </w:r>
            <w:r w:rsidRPr="004D2E51">
              <w:t xml:space="preserve"> </w:t>
            </w:r>
            <w:r w:rsidR="004E7039">
              <w:t xml:space="preserve">health </w:t>
            </w:r>
            <w:r w:rsidRPr="004D2E51">
              <w:t>service</w:t>
            </w:r>
            <w:r w:rsidR="004E7039">
              <w:t xml:space="preserve"> delivery</w:t>
            </w:r>
            <w:r w:rsidRPr="004D2E51">
              <w:t xml:space="preserve"> points worldwide. It seeks</w:t>
            </w:r>
            <w:r w:rsidR="004E7039">
              <w:t xml:space="preserve"> to</w:t>
            </w:r>
            <w:r w:rsidRPr="004D2E51">
              <w:t xml:space="preserve"> influence governments and other key decision-making bodies </w:t>
            </w:r>
            <w:r w:rsidR="00174EFA">
              <w:t xml:space="preserve">to </w:t>
            </w:r>
            <w:r w:rsidRPr="004D2E51">
              <w:t>make policy and legislative changes that support or defend SRHR. IPPF also conducts a range of education, awareness and empowerment programmes that supports its key mandate of SRHR for all.</w:t>
            </w:r>
          </w:p>
          <w:p w14:paraId="5DF5BA26" w14:textId="77777777" w:rsidR="004D2E51" w:rsidRPr="004D2E51" w:rsidRDefault="004D2E51" w:rsidP="004D2E51"/>
          <w:p w14:paraId="2C00C3DC" w14:textId="333E501E" w:rsidR="004D2E51" w:rsidRDefault="004D2E51" w:rsidP="004D2E51">
            <w:pPr>
              <w:rPr>
                <w:u w:val="single"/>
              </w:rPr>
            </w:pPr>
            <w:r w:rsidRPr="004D2E51">
              <w:rPr>
                <w:u w:val="single"/>
              </w:rPr>
              <w:t xml:space="preserve">Overview of the </w:t>
            </w:r>
            <w:r w:rsidR="008A590A">
              <w:rPr>
                <w:u w:val="single"/>
              </w:rPr>
              <w:t>project</w:t>
            </w:r>
          </w:p>
          <w:p w14:paraId="368FEFDE" w14:textId="1E4AA113" w:rsidR="00702077" w:rsidRDefault="00087B6F" w:rsidP="004016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IPPF quality of care (QOC) toolkit is an initiative to develop a standardized assessment of service quality. It is designed as a self-assessment, to be undertaken by the M</w:t>
            </w:r>
            <w:r>
              <w:rPr>
                <w:rFonts w:ascii="Calibri" w:hAnsi="Calibri" w:cs="Calibri"/>
              </w:rPr>
              <w:t xml:space="preserve">ember </w:t>
            </w:r>
            <w:r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ssociation</w:t>
            </w:r>
            <w:r w:rsidR="003D27AD">
              <w:rPr>
                <w:rFonts w:ascii="Calibri" w:hAnsi="Calibri" w:cs="Calibri"/>
              </w:rPr>
              <w:t xml:space="preserve"> (MA)</w:t>
            </w:r>
            <w:r>
              <w:rPr>
                <w:rFonts w:ascii="Calibri" w:hAnsi="Calibri" w:cs="Calibri"/>
              </w:rPr>
              <w:t xml:space="preserve"> or the service delivery point (SDP). </w:t>
            </w:r>
            <w:r w:rsidR="00702077">
              <w:rPr>
                <w:rFonts w:ascii="Calibri" w:hAnsi="Calibri" w:cs="Calibri"/>
              </w:rPr>
              <w:t>There are three tools</w:t>
            </w:r>
            <w:r w:rsidR="003D27AD">
              <w:rPr>
                <w:rFonts w:ascii="Calibri" w:hAnsi="Calibri" w:cs="Calibri"/>
              </w:rPr>
              <w:t xml:space="preserve"> comprising the toolkit</w:t>
            </w:r>
            <w:r w:rsidR="003D27AD">
              <w:rPr>
                <w:rFonts w:ascii="Calibri" w:hAnsi="Calibri" w:cs="Calibri"/>
              </w:rPr>
              <w:t xml:space="preserve"> (Standard SDP, MA and Humanitarian)</w:t>
            </w:r>
            <w:r w:rsidR="00FA5AFD">
              <w:rPr>
                <w:rFonts w:ascii="Calibri" w:hAnsi="Calibri" w:cs="Calibri"/>
              </w:rPr>
              <w:t xml:space="preserve">, each with </w:t>
            </w:r>
            <w:r w:rsidR="003D27AD">
              <w:rPr>
                <w:rFonts w:ascii="Calibri" w:hAnsi="Calibri" w:cs="Calibri"/>
              </w:rPr>
              <w:t xml:space="preserve">a Companion Guide which explains in detail how to perform the assessment and includes the benchmarking for each indicator. Each indicator is either marked </w:t>
            </w:r>
            <w:r w:rsidR="003D27AD" w:rsidRPr="00B74820">
              <w:rPr>
                <w:rFonts w:ascii="Calibri" w:hAnsi="Calibri" w:cs="Calibri"/>
              </w:rPr>
              <w:t>“Sufficient”, “Insufficient”, or “Not observed”, and th</w:t>
            </w:r>
            <w:r w:rsidR="003D27AD">
              <w:rPr>
                <w:rFonts w:ascii="Calibri" w:hAnsi="Calibri" w:cs="Calibri"/>
              </w:rPr>
              <w:t>e</w:t>
            </w:r>
            <w:r w:rsidR="003D27AD" w:rsidRPr="00B74820">
              <w:rPr>
                <w:rFonts w:ascii="Calibri" w:hAnsi="Calibri" w:cs="Calibri"/>
              </w:rPr>
              <w:t xml:space="preserve"> </w:t>
            </w:r>
            <w:r w:rsidR="003D27AD">
              <w:rPr>
                <w:rFonts w:ascii="Calibri" w:hAnsi="Calibri" w:cs="Calibri"/>
              </w:rPr>
              <w:t>C</w:t>
            </w:r>
            <w:r w:rsidR="003D27AD" w:rsidRPr="00B74820">
              <w:rPr>
                <w:rFonts w:ascii="Calibri" w:hAnsi="Calibri" w:cs="Calibri"/>
              </w:rPr>
              <w:t xml:space="preserve">ompanion </w:t>
            </w:r>
            <w:r w:rsidR="003D27AD">
              <w:rPr>
                <w:rFonts w:ascii="Calibri" w:hAnsi="Calibri" w:cs="Calibri"/>
              </w:rPr>
              <w:t>G</w:t>
            </w:r>
            <w:r w:rsidR="003D27AD" w:rsidRPr="00B74820">
              <w:rPr>
                <w:rFonts w:ascii="Calibri" w:hAnsi="Calibri" w:cs="Calibri"/>
              </w:rPr>
              <w:t>uide provides key definitions and benchmarks for “Sufficient” for each indicator.</w:t>
            </w:r>
            <w:r w:rsidR="00FB7340">
              <w:rPr>
                <w:rFonts w:ascii="Calibri" w:hAnsi="Calibri" w:cs="Calibri"/>
              </w:rPr>
              <w:t xml:space="preserve"> T</w:t>
            </w:r>
            <w:r w:rsidR="00702077">
              <w:rPr>
                <w:rFonts w:ascii="Calibri" w:hAnsi="Calibri" w:cs="Calibri"/>
              </w:rPr>
              <w:t>he tool is organized</w:t>
            </w:r>
            <w:r w:rsidR="00FB7340">
              <w:rPr>
                <w:rFonts w:ascii="Calibri" w:hAnsi="Calibri" w:cs="Calibri"/>
              </w:rPr>
              <w:t xml:space="preserve"> by the manner in which the data is collected</w:t>
            </w:r>
            <w:r w:rsidR="00702077">
              <w:rPr>
                <w:rFonts w:ascii="Calibri" w:hAnsi="Calibri" w:cs="Calibri"/>
              </w:rPr>
              <w:t xml:space="preserve">: Observation, Interview with responsible staff, Document review, and </w:t>
            </w:r>
            <w:r w:rsidR="008A590A">
              <w:rPr>
                <w:rFonts w:ascii="Calibri" w:hAnsi="Calibri" w:cs="Calibri"/>
              </w:rPr>
              <w:t>P</w:t>
            </w:r>
            <w:r w:rsidR="00702077">
              <w:rPr>
                <w:rFonts w:ascii="Calibri" w:hAnsi="Calibri" w:cs="Calibri"/>
              </w:rPr>
              <w:t xml:space="preserve">rovider observation. The scoring is automatically calculated </w:t>
            </w:r>
            <w:r w:rsidR="008A590A">
              <w:rPr>
                <w:rFonts w:ascii="Calibri" w:hAnsi="Calibri" w:cs="Calibri"/>
              </w:rPr>
              <w:t>by the tool and</w:t>
            </w:r>
            <w:r w:rsidR="00702077">
              <w:rPr>
                <w:rFonts w:ascii="Calibri" w:hAnsi="Calibri" w:cs="Calibri"/>
              </w:rPr>
              <w:t xml:space="preserve"> is presented by the various aspects of quality (safety, accessibility, people-centredness, confidentiality, integrated, inclusiveness, good management of staff and services, good management of supplies and commodities, effective communication, and effective service provision).</w:t>
            </w:r>
          </w:p>
          <w:p w14:paraId="6D3EA088" w14:textId="77777777" w:rsidR="00702077" w:rsidRDefault="00702077" w:rsidP="00F165A8">
            <w:pPr>
              <w:rPr>
                <w:rFonts w:ascii="Calibri" w:hAnsi="Calibri" w:cs="Calibri"/>
              </w:rPr>
            </w:pPr>
          </w:p>
          <w:p w14:paraId="770484EB" w14:textId="7B48D281" w:rsidR="00511458" w:rsidRDefault="00511458" w:rsidP="004D2E51">
            <w:r>
              <w:t xml:space="preserve">A need </w:t>
            </w:r>
            <w:r w:rsidR="00C821CB">
              <w:t>h</w:t>
            </w:r>
            <w:r>
              <w:t xml:space="preserve">as been identified to develop an online version of this </w:t>
            </w:r>
            <w:r w:rsidR="008A590A">
              <w:t>toolkit</w:t>
            </w:r>
            <w:r w:rsidR="008A590A">
              <w:t xml:space="preserve"> </w:t>
            </w:r>
            <w:r w:rsidR="004D5784">
              <w:t>through a</w:t>
            </w:r>
            <w:r w:rsidR="002A70AB">
              <w:t xml:space="preserve"> progressive</w:t>
            </w:r>
            <w:r w:rsidR="004D5784">
              <w:t xml:space="preserve"> webapp or other solution </w:t>
            </w:r>
            <w:r>
              <w:t xml:space="preserve">to make it a more practical and useable tool for </w:t>
            </w:r>
            <w:r w:rsidR="00F81867">
              <w:t>MAs</w:t>
            </w:r>
            <w:r>
              <w:t xml:space="preserve">. This would include use on </w:t>
            </w:r>
            <w:r w:rsidR="00F81867">
              <w:t xml:space="preserve">both </w:t>
            </w:r>
            <w:r>
              <w:t xml:space="preserve">a mobile </w:t>
            </w:r>
            <w:r w:rsidR="00F81867">
              <w:t xml:space="preserve">and </w:t>
            </w:r>
            <w:r>
              <w:t>a desktop</w:t>
            </w:r>
            <w:r w:rsidR="008B036B">
              <w:t xml:space="preserve"> device</w:t>
            </w:r>
            <w:r>
              <w:t>.</w:t>
            </w:r>
          </w:p>
          <w:p w14:paraId="39C8A7DB" w14:textId="0BE7BD8B" w:rsidR="00511458" w:rsidRPr="004D2E51" w:rsidRDefault="00511458" w:rsidP="00511458"/>
        </w:tc>
      </w:tr>
      <w:tr w:rsidR="004D2E51" w14:paraId="6FD4BD8B" w14:textId="77777777" w:rsidTr="3B890775">
        <w:tc>
          <w:tcPr>
            <w:tcW w:w="2448" w:type="dxa"/>
          </w:tcPr>
          <w:p w14:paraId="597BC04D" w14:textId="329BDF4E" w:rsidR="004D2E51" w:rsidRPr="00DC283E" w:rsidRDefault="00DC283E" w:rsidP="00DC283E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rPr>
                <w:u w:val="single"/>
              </w:rPr>
              <w:t>Purpose</w:t>
            </w:r>
          </w:p>
        </w:tc>
        <w:tc>
          <w:tcPr>
            <w:tcW w:w="6568" w:type="dxa"/>
          </w:tcPr>
          <w:p w14:paraId="419E94B4" w14:textId="77777777" w:rsidR="00DC283E" w:rsidRPr="00DC283E" w:rsidRDefault="00DC283E" w:rsidP="00DC283E">
            <w:pPr>
              <w:rPr>
                <w:u w:val="single"/>
              </w:rPr>
            </w:pPr>
            <w:r w:rsidRPr="00DC283E">
              <w:rPr>
                <w:u w:val="single"/>
              </w:rPr>
              <w:t>Reason the project is taking place</w:t>
            </w:r>
          </w:p>
          <w:p w14:paraId="2CEA2D02" w14:textId="68C80CAE" w:rsidR="009C2A2F" w:rsidRDefault="00DC283E" w:rsidP="00DC283E">
            <w:r>
              <w:t xml:space="preserve">The purpose </w:t>
            </w:r>
            <w:r w:rsidR="00385866">
              <w:t xml:space="preserve">of this project is to develop a solution </w:t>
            </w:r>
            <w:r w:rsidR="00F42034">
              <w:t xml:space="preserve">an easy-to-use platform for assessors of </w:t>
            </w:r>
            <w:r w:rsidR="001405A0">
              <w:t xml:space="preserve">service quality </w:t>
            </w:r>
            <w:r w:rsidR="009C2A2F">
              <w:t>to conduct and collect data on quality of care using the IPPF toolkit.</w:t>
            </w:r>
          </w:p>
          <w:p w14:paraId="5E8345F6" w14:textId="28F7D695" w:rsidR="00AB26C6" w:rsidRDefault="00691E57" w:rsidP="00DC283E">
            <w:r>
              <w:t xml:space="preserve">Being able </w:t>
            </w:r>
            <w:r w:rsidR="00401677">
              <w:t>to easily</w:t>
            </w:r>
            <w:r w:rsidR="00385866">
              <w:t xml:space="preserve"> navigate to particular sections of the </w:t>
            </w:r>
            <w:r w:rsidR="00411916">
              <w:t>toolkit and capture/input data</w:t>
            </w:r>
            <w:r w:rsidR="0011608A">
              <w:t xml:space="preserve"> </w:t>
            </w:r>
            <w:r w:rsidR="00385866">
              <w:t>on their mobile or desktop device</w:t>
            </w:r>
            <w:r w:rsidR="00411916">
              <w:t xml:space="preserve"> are essential for this application</w:t>
            </w:r>
            <w:r w:rsidR="00DC283E">
              <w:t xml:space="preserve">. </w:t>
            </w:r>
          </w:p>
          <w:p w14:paraId="4F78011E" w14:textId="77777777" w:rsidR="00AB26C6" w:rsidRDefault="00AB26C6" w:rsidP="00DC283E"/>
          <w:p w14:paraId="7BBB8CA9" w14:textId="0129BCD5" w:rsidR="00DC283E" w:rsidRPr="00DC283E" w:rsidRDefault="00DC283E" w:rsidP="00DC283E">
            <w:r>
              <w:t xml:space="preserve">The </w:t>
            </w:r>
            <w:r w:rsidR="00A02CF0">
              <w:t>solution</w:t>
            </w:r>
            <w:r>
              <w:t xml:space="preserve"> would need:</w:t>
            </w:r>
          </w:p>
          <w:p w14:paraId="65103657" w14:textId="566DE019" w:rsidR="00DC283E" w:rsidRPr="00DC283E" w:rsidRDefault="00DC283E" w:rsidP="007C2E83">
            <w:pPr>
              <w:pStyle w:val="ListBullet"/>
            </w:pPr>
            <w:r>
              <w:t xml:space="preserve">to be able to be used on </w:t>
            </w:r>
            <w:r w:rsidR="00385866">
              <w:t xml:space="preserve">smart </w:t>
            </w:r>
            <w:r>
              <w:t>phones</w:t>
            </w:r>
            <w:r w:rsidR="008B036B">
              <w:t xml:space="preserve">, </w:t>
            </w:r>
            <w:r>
              <w:t>Android tablets</w:t>
            </w:r>
            <w:r w:rsidR="008B036B">
              <w:t xml:space="preserve"> and Windows PCs</w:t>
            </w:r>
            <w:r w:rsidR="00964159">
              <w:t>/Macs</w:t>
            </w:r>
            <w:r w:rsidR="00D86DE8">
              <w:t>, p</w:t>
            </w:r>
            <w:r w:rsidR="00272003">
              <w:t>otentially using Edge/Chrome/Safari/Firefox</w:t>
            </w:r>
            <w:r w:rsidR="008B036B">
              <w:t>;</w:t>
            </w:r>
          </w:p>
          <w:p w14:paraId="3A0186B1" w14:textId="06D7CEA7" w:rsidR="00DC283E" w:rsidRPr="00DC283E" w:rsidRDefault="008B036B" w:rsidP="007C2E83">
            <w:pPr>
              <w:pStyle w:val="ListBullet"/>
            </w:pPr>
            <w:r>
              <w:lastRenderedPageBreak/>
              <w:t>to be n</w:t>
            </w:r>
            <w:r w:rsidR="00DC283E">
              <w:t xml:space="preserve">avigable by </w:t>
            </w:r>
            <w:r w:rsidR="0011608A">
              <w:t>section</w:t>
            </w:r>
            <w:r w:rsidR="00411916">
              <w:t>s</w:t>
            </w:r>
            <w:r w:rsidR="0023166E">
              <w:t xml:space="preserve"> and topics</w:t>
            </w:r>
            <w:r w:rsidR="0011608A">
              <w:t xml:space="preserve"> of the </w:t>
            </w:r>
            <w:r w:rsidR="0023166E">
              <w:t>QOC toolkit</w:t>
            </w:r>
            <w:r w:rsidR="00101BDA">
              <w:t xml:space="preserve">, with </w:t>
            </w:r>
            <w:r w:rsidR="00B367D5">
              <w:t>the option to expand sections to read detail for e.g. definitions</w:t>
            </w:r>
            <w:r w:rsidR="00C821CB">
              <w:t>;</w:t>
            </w:r>
          </w:p>
          <w:p w14:paraId="6798FB08" w14:textId="12B91F13" w:rsidR="00DC283E" w:rsidRDefault="008B036B" w:rsidP="007C2E83">
            <w:pPr>
              <w:pStyle w:val="ListBullet"/>
            </w:pPr>
            <w:r>
              <w:t>c</w:t>
            </w:r>
            <w:r w:rsidR="00DC283E">
              <w:t xml:space="preserve">ontent to be searchable within the </w:t>
            </w:r>
            <w:r w:rsidR="00A02CF0">
              <w:t>web page/</w:t>
            </w:r>
            <w:r w:rsidR="00DC283E">
              <w:t>app</w:t>
            </w:r>
            <w:r w:rsidR="00C821CB">
              <w:t>;</w:t>
            </w:r>
          </w:p>
          <w:p w14:paraId="2E8F0D17" w14:textId="66A27B62" w:rsidR="007C2E83" w:rsidRPr="00DC283E" w:rsidRDefault="007C2E83" w:rsidP="007C2E83">
            <w:pPr>
              <w:pStyle w:val="ListBullet"/>
            </w:pPr>
            <w:r>
              <w:t xml:space="preserve">to be capable of being updated </w:t>
            </w:r>
            <w:r w:rsidR="00D826CB">
              <w:t>periodically</w:t>
            </w:r>
            <w:r w:rsidR="003F34B5">
              <w:t xml:space="preserve"> and </w:t>
            </w:r>
            <w:r w:rsidR="00656FD9">
              <w:t>display versioning information</w:t>
            </w:r>
            <w:r w:rsidR="00C821CB">
              <w:t>;</w:t>
            </w:r>
          </w:p>
          <w:p w14:paraId="72E34DBA" w14:textId="201FA0DB" w:rsidR="00DC283E" w:rsidRDefault="000C4990" w:rsidP="007C2E83">
            <w:pPr>
              <w:pStyle w:val="ListBullet"/>
            </w:pPr>
            <w:r>
              <w:t xml:space="preserve">to be </w:t>
            </w:r>
            <w:r w:rsidR="00D826CB">
              <w:t>suitable</w:t>
            </w:r>
            <w:r w:rsidR="00DC283E">
              <w:t xml:space="preserve"> </w:t>
            </w:r>
            <w:r w:rsidR="064F57BA">
              <w:t xml:space="preserve">for </w:t>
            </w:r>
            <w:r w:rsidR="00DC283E">
              <w:t xml:space="preserve">reference, training and </w:t>
            </w:r>
            <w:r w:rsidR="009C4513">
              <w:t>data capture</w:t>
            </w:r>
            <w:r w:rsidR="00C821CB">
              <w:t>;</w:t>
            </w:r>
          </w:p>
          <w:p w14:paraId="41C47666" w14:textId="786AB045" w:rsidR="000561D5" w:rsidRPr="00DC283E" w:rsidRDefault="000561D5" w:rsidP="007C2E83">
            <w:pPr>
              <w:pStyle w:val="ListBullet"/>
            </w:pPr>
            <w:r>
              <w:t xml:space="preserve">to </w:t>
            </w:r>
            <w:r w:rsidR="00B367D5">
              <w:t xml:space="preserve">have access </w:t>
            </w:r>
            <w:r>
              <w:t xml:space="preserve">restricted to </w:t>
            </w:r>
            <w:r w:rsidR="006772F0">
              <w:t xml:space="preserve">approved IPPF Secretariat and MA/CP staff members, using IPPF’s existing </w:t>
            </w:r>
            <w:r w:rsidR="00145208">
              <w:t xml:space="preserve">authentication </w:t>
            </w:r>
            <w:r w:rsidR="006772F0">
              <w:t xml:space="preserve">system or an alternative </w:t>
            </w:r>
            <w:r w:rsidR="00DD590F">
              <w:t>method</w:t>
            </w:r>
            <w:r w:rsidR="00AE6EBE">
              <w:t xml:space="preserve"> and have differing levels of authorization</w:t>
            </w:r>
            <w:r w:rsidR="006436FB">
              <w:t xml:space="preserve"> to view/edit data</w:t>
            </w:r>
          </w:p>
          <w:p w14:paraId="1529C106" w14:textId="06CE0185" w:rsidR="00DC283E" w:rsidRDefault="000C4990" w:rsidP="007C2E83">
            <w:pPr>
              <w:pStyle w:val="ListBullet"/>
            </w:pPr>
            <w:r>
              <w:t xml:space="preserve">to allow </w:t>
            </w:r>
            <w:r w:rsidR="0018659E">
              <w:t>the guide to be downloaded and saved for offline viewing.</w:t>
            </w:r>
            <w:r w:rsidR="0018659E" w:rsidRPr="0018659E">
              <w:t xml:space="preserve"> When a connection is available, the app should notify the user if a newer version of the guidelines is available for download</w:t>
            </w:r>
            <w:r>
              <w:t>;</w:t>
            </w:r>
          </w:p>
          <w:p w14:paraId="5B3F0A79" w14:textId="63C2D475" w:rsidR="00BD1BBE" w:rsidRDefault="00BD1BBE" w:rsidP="007C2E83">
            <w:pPr>
              <w:pStyle w:val="ListBullet"/>
            </w:pPr>
            <w:r>
              <w:t>to be available in IPPF’s four official languages: English, French, Spanish and Arabic</w:t>
            </w:r>
            <w:r w:rsidR="002D0BEF">
              <w:t>;</w:t>
            </w:r>
          </w:p>
          <w:p w14:paraId="0D4CE671" w14:textId="092ABBB0" w:rsidR="00996F9F" w:rsidRPr="00DC283E" w:rsidRDefault="00996F9F" w:rsidP="007C2E83">
            <w:pPr>
              <w:pStyle w:val="ListBullet"/>
            </w:pPr>
            <w:r>
              <w:t xml:space="preserve">a design that can link to </w:t>
            </w:r>
            <w:r w:rsidR="002D0BEF">
              <w:t>other documents;</w:t>
            </w:r>
          </w:p>
          <w:p w14:paraId="7B8D1E6A" w14:textId="2FF9488B" w:rsidR="007C2E83" w:rsidRPr="007C2E83" w:rsidRDefault="000C4990" w:rsidP="007C2E83">
            <w:pPr>
              <w:pStyle w:val="ListBullet"/>
            </w:pPr>
            <w:r>
              <w:t>a</w:t>
            </w:r>
            <w:r w:rsidR="00DC283E">
              <w:t xml:space="preserve"> design that can incorporate</w:t>
            </w:r>
            <w:r w:rsidR="00AD33B4">
              <w:t xml:space="preserve"> tables</w:t>
            </w:r>
            <w:r w:rsidR="0018659E">
              <w:t>,</w:t>
            </w:r>
            <w:r w:rsidR="00DC283E">
              <w:t xml:space="preserve"> text boxes</w:t>
            </w:r>
            <w:r w:rsidR="0018659E">
              <w:t xml:space="preserve"> and simple diagrams </w:t>
            </w:r>
            <w:r w:rsidR="00DC283E">
              <w:t>as well as the main chapter text.</w:t>
            </w:r>
          </w:p>
        </w:tc>
      </w:tr>
      <w:tr w:rsidR="004D2E51" w14:paraId="294A5C99" w14:textId="77777777" w:rsidTr="3B890775">
        <w:tc>
          <w:tcPr>
            <w:tcW w:w="2448" w:type="dxa"/>
          </w:tcPr>
          <w:p w14:paraId="4F787335" w14:textId="6A6795D7" w:rsidR="004D2E51" w:rsidRPr="007C2E83" w:rsidRDefault="007C2E83" w:rsidP="007C2E83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rPr>
                <w:u w:val="single"/>
              </w:rPr>
              <w:lastRenderedPageBreak/>
              <w:t>Roles and Respo</w:t>
            </w:r>
            <w:r w:rsidR="005A4F86">
              <w:rPr>
                <w:u w:val="single"/>
              </w:rPr>
              <w:t>nsibilities</w:t>
            </w:r>
          </w:p>
        </w:tc>
        <w:tc>
          <w:tcPr>
            <w:tcW w:w="6568" w:type="dxa"/>
          </w:tcPr>
          <w:p w14:paraId="129887D8" w14:textId="77777777" w:rsidR="007C2E83" w:rsidRPr="007C2E83" w:rsidRDefault="007C2E83" w:rsidP="007C2E83">
            <w:pPr>
              <w:rPr>
                <w:u w:val="single"/>
              </w:rPr>
            </w:pPr>
            <w:r w:rsidRPr="007C2E83">
              <w:rPr>
                <w:u w:val="single"/>
              </w:rPr>
              <w:t>Contractor’s specific roles and responsibilities:</w:t>
            </w:r>
          </w:p>
          <w:p w14:paraId="00A01ED2" w14:textId="0A528E4E" w:rsidR="007C2E83" w:rsidRPr="007C2E83" w:rsidRDefault="007C2E83" w:rsidP="004D5784">
            <w:pPr>
              <w:pStyle w:val="ListBullet"/>
            </w:pPr>
            <w:r>
              <w:t>Develop</w:t>
            </w:r>
            <w:r w:rsidR="0018659E">
              <w:t xml:space="preserve"> progressive</w:t>
            </w:r>
            <w:r>
              <w:t xml:space="preserve"> </w:t>
            </w:r>
            <w:r w:rsidR="004D5784">
              <w:t xml:space="preserve">webapp or other online </w:t>
            </w:r>
            <w:r w:rsidR="00DB5A01">
              <w:t xml:space="preserve">solution for </w:t>
            </w:r>
            <w:r w:rsidR="00FD0244">
              <w:t>IPPF QOC toolkit</w:t>
            </w:r>
            <w:r w:rsidR="004D5784">
              <w:t xml:space="preserve"> </w:t>
            </w:r>
            <w:r>
              <w:t>based on the specifications</w:t>
            </w:r>
          </w:p>
          <w:p w14:paraId="19CB1E5B" w14:textId="68C5C972" w:rsidR="007C2E83" w:rsidRPr="007C2E83" w:rsidRDefault="007C2E83" w:rsidP="00860551">
            <w:pPr>
              <w:pStyle w:val="ListBullet"/>
            </w:pPr>
            <w:r>
              <w:t>Design interfaces to enrich user experiences</w:t>
            </w:r>
            <w:r w:rsidR="00860551">
              <w:t xml:space="preserve"> </w:t>
            </w:r>
            <w:r w:rsidR="00014D9C">
              <w:t>–</w:t>
            </w:r>
            <w:r w:rsidR="00860551">
              <w:t xml:space="preserve"> </w:t>
            </w:r>
            <w:r w:rsidR="00860551" w:rsidRPr="00860551">
              <w:t>front-end for ease of use by end users, and back-end for administrative functionality for system managemen</w:t>
            </w:r>
            <w:r w:rsidR="00860551">
              <w:t>t</w:t>
            </w:r>
          </w:p>
          <w:p w14:paraId="20584827" w14:textId="1EA08E81" w:rsidR="007C2E83" w:rsidRPr="007C2E83" w:rsidRDefault="007C2E83" w:rsidP="007C2E83">
            <w:pPr>
              <w:pStyle w:val="ListBullet"/>
            </w:pPr>
            <w:r>
              <w:t>Test, debug and improve application</w:t>
            </w:r>
            <w:r w:rsidR="00B167FE">
              <w:t>’</w:t>
            </w:r>
            <w:r>
              <w:t>s optimization for better performance</w:t>
            </w:r>
          </w:p>
          <w:p w14:paraId="6E69097C" w14:textId="5AA1DC2B" w:rsidR="004D2E51" w:rsidRDefault="007C2E83" w:rsidP="007C2E83">
            <w:pPr>
              <w:pStyle w:val="ListBullet"/>
            </w:pPr>
            <w:r>
              <w:t xml:space="preserve">Work with IPPF team to ensure the content is displayed and developed as per the </w:t>
            </w:r>
            <w:proofErr w:type="spellStart"/>
            <w:r>
              <w:t>ToR</w:t>
            </w:r>
            <w:proofErr w:type="spellEnd"/>
          </w:p>
          <w:p w14:paraId="4DDF1CF6" w14:textId="3A96C7EC" w:rsidR="00DB5A01" w:rsidRDefault="007C4D1C" w:rsidP="00DB5A01">
            <w:pPr>
              <w:pStyle w:val="ListBullet"/>
            </w:pPr>
            <w:r>
              <w:t>Identify</w:t>
            </w:r>
            <w:r w:rsidR="00DB5A01">
              <w:t xml:space="preserve"> </w:t>
            </w:r>
            <w:r w:rsidR="004D5784">
              <w:t>solution</w:t>
            </w:r>
            <w:r>
              <w:t>s</w:t>
            </w:r>
            <w:r w:rsidR="00DB5A01">
              <w:t xml:space="preserve"> for any issues that arise </w:t>
            </w:r>
          </w:p>
          <w:p w14:paraId="0366D7F9" w14:textId="554263CB" w:rsidR="00DB5A01" w:rsidRDefault="004D5784" w:rsidP="00DB5A01">
            <w:pPr>
              <w:pStyle w:val="ListBullet"/>
            </w:pPr>
            <w:r>
              <w:t>Versions to be available in four official IPPF languages: English, French, Spanish and Arabic</w:t>
            </w:r>
          </w:p>
          <w:p w14:paraId="1B780D54" w14:textId="1157C99A" w:rsidR="00DB5A01" w:rsidRDefault="005B3E55" w:rsidP="00DB5A01">
            <w:pPr>
              <w:pStyle w:val="ListBullet"/>
            </w:pPr>
            <w:r>
              <w:t>Ensure availability to users through app stores or otherwise</w:t>
            </w:r>
            <w:r w:rsidR="00DB5A01">
              <w:t xml:space="preserve"> </w:t>
            </w:r>
          </w:p>
          <w:p w14:paraId="639FEE9E" w14:textId="19B90945" w:rsidR="00DB5A01" w:rsidRDefault="00DB5A01" w:rsidP="00DB5A01">
            <w:pPr>
              <w:pStyle w:val="ListBullet"/>
            </w:pPr>
            <w:r>
              <w:t xml:space="preserve">Develop a user manual and deliver training for the support staff and system administrators </w:t>
            </w:r>
            <w:r w:rsidR="00C31321">
              <w:t xml:space="preserve">(4-6 people, English only) </w:t>
            </w:r>
            <w:r>
              <w:t xml:space="preserve">to </w:t>
            </w:r>
            <w:r w:rsidR="00015BC1">
              <w:t xml:space="preserve">understand the platform architecture and how to modify it, </w:t>
            </w:r>
            <w:r>
              <w:t xml:space="preserve">perform content upload, system maintenance and administration </w:t>
            </w:r>
          </w:p>
          <w:p w14:paraId="70B5B386" w14:textId="77777777" w:rsidR="00DB5A01" w:rsidRDefault="00DB5A01" w:rsidP="00DB5A01">
            <w:pPr>
              <w:pStyle w:val="ListBullet"/>
              <w:numPr>
                <w:ilvl w:val="0"/>
                <w:numId w:val="0"/>
              </w:numPr>
            </w:pPr>
          </w:p>
          <w:p w14:paraId="0992051C" w14:textId="31AA6371" w:rsidR="00DB5A01" w:rsidRPr="00DB5A01" w:rsidRDefault="00DB5A01" w:rsidP="00DB5A01">
            <w:pPr>
              <w:pStyle w:val="ListBullet"/>
              <w:numPr>
                <w:ilvl w:val="0"/>
                <w:numId w:val="0"/>
              </w:numPr>
              <w:rPr>
                <w:u w:val="single"/>
              </w:rPr>
            </w:pPr>
            <w:r w:rsidRPr="31677F2D">
              <w:rPr>
                <w:u w:val="single"/>
              </w:rPr>
              <w:t xml:space="preserve">IPPF’s specific roles and responsibilities: </w:t>
            </w:r>
          </w:p>
          <w:p w14:paraId="41DAB141" w14:textId="0EED4B02" w:rsidR="00DB5A01" w:rsidRDefault="00DB5A01" w:rsidP="00DB5A01">
            <w:pPr>
              <w:pStyle w:val="ListBullet"/>
            </w:pPr>
            <w:r>
              <w:t xml:space="preserve">Take appropriate strategic decisions as required and in a timely manner to facilitate the delivery of the project deliverables </w:t>
            </w:r>
          </w:p>
          <w:p w14:paraId="7DCED949" w14:textId="3C064DD8" w:rsidR="00DB5A01" w:rsidRDefault="00DB5A01" w:rsidP="00DB5A01">
            <w:pPr>
              <w:pStyle w:val="ListBullet"/>
            </w:pPr>
            <w:r>
              <w:t xml:space="preserve">Take appropriate steps to ensure access to relevant decision makers </w:t>
            </w:r>
          </w:p>
          <w:p w14:paraId="0372BB16" w14:textId="561BB9C3" w:rsidR="00DB5A01" w:rsidRDefault="00DB5A01" w:rsidP="00DB5A01">
            <w:pPr>
              <w:pStyle w:val="ListBullet"/>
            </w:pPr>
            <w:r>
              <w:t xml:space="preserve">Support </w:t>
            </w:r>
            <w:r w:rsidR="00311A61">
              <w:t>the contractor in</w:t>
            </w:r>
            <w:r>
              <w:t xml:space="preserve"> achieving agreed outcomes by providing appropriate guidance and direction to Secretariat staff </w:t>
            </w:r>
          </w:p>
          <w:p w14:paraId="1E6172F6" w14:textId="0D8D1DB0" w:rsidR="00BA616B" w:rsidRDefault="00BA616B" w:rsidP="00DB5A01">
            <w:pPr>
              <w:pStyle w:val="ListBullet"/>
            </w:pPr>
            <w:r>
              <w:t xml:space="preserve">Support testing and </w:t>
            </w:r>
            <w:r w:rsidR="002F7FF4">
              <w:t>rollout process across IPPF</w:t>
            </w:r>
          </w:p>
          <w:p w14:paraId="5AE89FE1" w14:textId="6DB2F20B" w:rsidR="00DB5A01" w:rsidRDefault="00DB5A01" w:rsidP="00DB5A01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  <w:tr w:rsidR="004D2E51" w14:paraId="3D960830" w14:textId="77777777" w:rsidTr="3B890775">
        <w:tc>
          <w:tcPr>
            <w:tcW w:w="2448" w:type="dxa"/>
          </w:tcPr>
          <w:p w14:paraId="24CF159A" w14:textId="00FF2C59" w:rsidR="004D2E51" w:rsidRPr="005B3E55" w:rsidRDefault="005B3E55" w:rsidP="005B3E5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 w:rsidRPr="69D595FD">
              <w:rPr>
                <w:u w:val="single"/>
              </w:rPr>
              <w:t>Timeline</w:t>
            </w:r>
          </w:p>
        </w:tc>
        <w:tc>
          <w:tcPr>
            <w:tcW w:w="6568" w:type="dxa"/>
          </w:tcPr>
          <w:p w14:paraId="7748B67E" w14:textId="77777777" w:rsidR="00FF2EA0" w:rsidRPr="00FF2EA0" w:rsidRDefault="00FF2EA0" w:rsidP="00FF2EA0">
            <w:pPr>
              <w:rPr>
                <w:u w:val="single"/>
              </w:rPr>
            </w:pPr>
            <w:r w:rsidRPr="00FF2EA0">
              <w:rPr>
                <w:u w:val="single"/>
              </w:rPr>
              <w:t xml:space="preserve">Commencement date. </w:t>
            </w:r>
          </w:p>
          <w:p w14:paraId="3B8E042C" w14:textId="66E8EE3D" w:rsidR="00FF2EA0" w:rsidRPr="00FF2EA0" w:rsidRDefault="00FF2EA0" w:rsidP="00FF2EA0">
            <w:r w:rsidRPr="00FF2EA0">
              <w:lastRenderedPageBreak/>
              <w:t xml:space="preserve">Contractor services to commence </w:t>
            </w:r>
            <w:r w:rsidR="00102EA3">
              <w:t>January 2026</w:t>
            </w:r>
          </w:p>
          <w:p w14:paraId="0D4E98C7" w14:textId="77777777" w:rsidR="00FF2EA0" w:rsidRDefault="00FF2EA0" w:rsidP="00FF2EA0">
            <w:pPr>
              <w:rPr>
                <w:u w:val="single"/>
              </w:rPr>
            </w:pPr>
          </w:p>
          <w:p w14:paraId="0BC5E4DE" w14:textId="77777777" w:rsidR="00221EEF" w:rsidRPr="00221EEF" w:rsidRDefault="00FF2EA0" w:rsidP="00221EEF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FF2EA0">
              <w:rPr>
                <w:u w:val="single"/>
              </w:rPr>
              <w:t xml:space="preserve">Anticipated completion date. </w:t>
            </w:r>
          </w:p>
          <w:p w14:paraId="37D9120A" w14:textId="110895B8" w:rsidR="003A32E6" w:rsidRDefault="003A32E6" w:rsidP="00014D9C">
            <w:pPr>
              <w:pStyle w:val="ListBullet"/>
            </w:pPr>
            <w:r>
              <w:t xml:space="preserve">Product should be substantially complete and available for testing and rollout by </w:t>
            </w:r>
            <w:r w:rsidR="00102EA3">
              <w:t>March 2026</w:t>
            </w:r>
          </w:p>
          <w:p w14:paraId="239B53A8" w14:textId="34919F8B" w:rsidR="003A32E6" w:rsidRDefault="006A1127" w:rsidP="00014D9C">
            <w:pPr>
              <w:pStyle w:val="ListBullet"/>
            </w:pPr>
            <w:r>
              <w:t>Warr</w:t>
            </w:r>
            <w:r w:rsidR="00C11036">
              <w:t xml:space="preserve">anty period of </w:t>
            </w:r>
            <w:r w:rsidR="00646D8C">
              <w:t>60 days following completion should be included to address bug fixes and other necessary changes</w:t>
            </w:r>
            <w:r w:rsidR="008A5246">
              <w:t>.</w:t>
            </w:r>
          </w:p>
          <w:p w14:paraId="2420DA99" w14:textId="553C985A" w:rsidR="008A5246" w:rsidRPr="00FF2EA0" w:rsidRDefault="00054B02" w:rsidP="00014D9C">
            <w:pPr>
              <w:pStyle w:val="ListBullet"/>
            </w:pPr>
            <w:r>
              <w:t xml:space="preserve">Ongoing support and maintenance should be </w:t>
            </w:r>
            <w:r w:rsidR="00714FA6">
              <w:t xml:space="preserve">addressed in </w:t>
            </w:r>
            <w:r w:rsidR="00A5058E">
              <w:t xml:space="preserve">additional </w:t>
            </w:r>
            <w:r w:rsidR="00C15F86">
              <w:t>quote (see section 7).</w:t>
            </w:r>
          </w:p>
          <w:p w14:paraId="377C7B61" w14:textId="5A173A99" w:rsidR="00753727" w:rsidRDefault="00753727" w:rsidP="00AD57ED">
            <w:pPr>
              <w:pStyle w:val="ListBullet"/>
              <w:numPr>
                <w:ilvl w:val="0"/>
                <w:numId w:val="0"/>
              </w:numPr>
              <w:rPr>
                <w:u w:val="single"/>
              </w:rPr>
            </w:pPr>
          </w:p>
        </w:tc>
      </w:tr>
      <w:tr w:rsidR="004D2E51" w14:paraId="6B5DDB39" w14:textId="77777777" w:rsidTr="3B890775">
        <w:tc>
          <w:tcPr>
            <w:tcW w:w="2448" w:type="dxa"/>
          </w:tcPr>
          <w:p w14:paraId="3FC4EC02" w14:textId="34080767" w:rsidR="004D2E51" w:rsidRPr="005B3E55" w:rsidRDefault="005B3E55" w:rsidP="005B3E5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rPr>
                <w:u w:val="single"/>
              </w:rPr>
              <w:lastRenderedPageBreak/>
              <w:t>Milestones and deliverables</w:t>
            </w:r>
          </w:p>
        </w:tc>
        <w:tc>
          <w:tcPr>
            <w:tcW w:w="6568" w:type="dxa"/>
          </w:tcPr>
          <w:p w14:paraId="2CCCC4C9" w14:textId="69A44F2C" w:rsidR="005B3E55" w:rsidRPr="005B3E55" w:rsidRDefault="005B3E55" w:rsidP="005B3E55">
            <w:pPr>
              <w:rPr>
                <w:u w:val="single"/>
              </w:rPr>
            </w:pPr>
            <w:r w:rsidRPr="69D595FD">
              <w:rPr>
                <w:u w:val="single"/>
              </w:rPr>
              <w:t>Key milestone</w:t>
            </w:r>
            <w:r w:rsidR="00311A61" w:rsidRPr="69D595FD">
              <w:rPr>
                <w:u w:val="single"/>
              </w:rPr>
              <w:t>s</w:t>
            </w:r>
          </w:p>
          <w:p w14:paraId="05F05299" w14:textId="5F7E45F1" w:rsidR="00453D15" w:rsidRDefault="00453D15" w:rsidP="005B3E55">
            <w:pPr>
              <w:pStyle w:val="ListBullet"/>
            </w:pPr>
            <w:r>
              <w:t xml:space="preserve">Detailed specification of solution </w:t>
            </w:r>
          </w:p>
          <w:p w14:paraId="46A622AB" w14:textId="0A4E0B2A" w:rsidR="005B3E55" w:rsidRPr="005B3E55" w:rsidRDefault="005B3E55" w:rsidP="005B3E55">
            <w:pPr>
              <w:pStyle w:val="ListBullet"/>
            </w:pPr>
            <w:r>
              <w:t>Layout of one or two chapters as an initial test</w:t>
            </w:r>
            <w:r w:rsidR="00631680">
              <w:t xml:space="preserve"> </w:t>
            </w:r>
          </w:p>
          <w:p w14:paraId="6E8CD72E" w14:textId="1289409F" w:rsidR="005B3E55" w:rsidRPr="005B3E55" w:rsidRDefault="005B3E55" w:rsidP="00F2206F">
            <w:pPr>
              <w:pStyle w:val="ListBullet"/>
            </w:pPr>
            <w:r>
              <w:t xml:space="preserve">Clear layout of diagrams within the guidelines </w:t>
            </w:r>
          </w:p>
          <w:p w14:paraId="2C27F07B" w14:textId="032E44BD" w:rsidR="005B3E55" w:rsidRPr="005B3E55" w:rsidRDefault="005B3E55" w:rsidP="005B3E55">
            <w:pPr>
              <w:pStyle w:val="ListBullet"/>
            </w:pPr>
            <w:r>
              <w:t>Interfaces design and approval</w:t>
            </w:r>
            <w:r w:rsidR="00453D15">
              <w:t xml:space="preserve"> </w:t>
            </w:r>
          </w:p>
          <w:p w14:paraId="4E1BE7FE" w14:textId="3CC60548" w:rsidR="005B3E55" w:rsidRDefault="00427474" w:rsidP="00427474">
            <w:pPr>
              <w:pStyle w:val="ListBullet"/>
            </w:pPr>
            <w:r>
              <w:t>App tested</w:t>
            </w:r>
            <w:r w:rsidR="005B3E55">
              <w:t xml:space="preserve"> on multiple platforms (Android</w:t>
            </w:r>
            <w:r w:rsidR="00453D15">
              <w:t>,</w:t>
            </w:r>
            <w:r w:rsidR="005B3E55">
              <w:t xml:space="preserve"> </w:t>
            </w:r>
            <w:r w:rsidR="006579C0">
              <w:t>i</w:t>
            </w:r>
            <w:r w:rsidR="005B3E55">
              <w:t>OS</w:t>
            </w:r>
            <w:r w:rsidR="00453D15">
              <w:t>, Windows</w:t>
            </w:r>
            <w:r>
              <w:t>, MacOS</w:t>
            </w:r>
            <w:r w:rsidR="005B3E55">
              <w:t xml:space="preserve">) </w:t>
            </w:r>
            <w:r w:rsidR="00D05E1E">
              <w:t xml:space="preserve">in each language version </w:t>
            </w:r>
            <w:r>
              <w:t xml:space="preserve">with different Member Associations </w:t>
            </w:r>
          </w:p>
          <w:p w14:paraId="25CAB93B" w14:textId="54658EE7" w:rsidR="004D2E51" w:rsidRPr="00014D9C" w:rsidRDefault="005B3E55" w:rsidP="005B3E55">
            <w:pPr>
              <w:pStyle w:val="ListBullet"/>
              <w:rPr>
                <w:u w:val="single"/>
              </w:rPr>
            </w:pPr>
            <w:r>
              <w:t xml:space="preserve">Roll out </w:t>
            </w:r>
            <w:r w:rsidR="00CA76E9">
              <w:t xml:space="preserve">and training </w:t>
            </w:r>
            <w:r>
              <w:t xml:space="preserve">once testing is complete </w:t>
            </w:r>
          </w:p>
          <w:p w14:paraId="21480012" w14:textId="1F3D62E3" w:rsidR="0071650F" w:rsidRPr="00221EEF" w:rsidRDefault="0071650F" w:rsidP="005B3E55">
            <w:pPr>
              <w:pStyle w:val="ListBullet"/>
            </w:pPr>
            <w:r w:rsidRPr="00221EEF">
              <w:t>User guide and training manual</w:t>
            </w:r>
          </w:p>
          <w:p w14:paraId="07ED9DE2" w14:textId="77777777" w:rsidR="0038008B" w:rsidRPr="00D15C9E" w:rsidRDefault="0038008B" w:rsidP="00D15C9E">
            <w:pPr>
              <w:pStyle w:val="ListBullet"/>
              <w:numPr>
                <w:ilvl w:val="0"/>
                <w:numId w:val="0"/>
              </w:numPr>
            </w:pPr>
          </w:p>
          <w:p w14:paraId="009EE903" w14:textId="11647B7A" w:rsidR="0038008B" w:rsidRDefault="00C51BD6" w:rsidP="00D15C9E">
            <w:pPr>
              <w:pStyle w:val="ListBullet"/>
              <w:numPr>
                <w:ilvl w:val="0"/>
                <w:numId w:val="0"/>
              </w:numPr>
              <w:rPr>
                <w:u w:val="single"/>
              </w:rPr>
            </w:pPr>
            <w:r>
              <w:t xml:space="preserve">Contractor to propose appropriate timeline </w:t>
            </w:r>
            <w:r w:rsidR="00D15C9E">
              <w:t xml:space="preserve">allowing rollout by </w:t>
            </w:r>
            <w:r w:rsidR="00102EA3">
              <w:t>March 2026</w:t>
            </w:r>
          </w:p>
        </w:tc>
      </w:tr>
      <w:tr w:rsidR="004D2E51" w14:paraId="7D9983C3" w14:textId="77777777" w:rsidTr="3B890775">
        <w:tc>
          <w:tcPr>
            <w:tcW w:w="2448" w:type="dxa"/>
          </w:tcPr>
          <w:p w14:paraId="0AB01053" w14:textId="6F886375" w:rsidR="004D2E51" w:rsidRPr="005B3E55" w:rsidRDefault="005B3E55" w:rsidP="005B3E5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rPr>
                <w:u w:val="single"/>
              </w:rPr>
              <w:t>Contractor requirements</w:t>
            </w:r>
          </w:p>
        </w:tc>
        <w:tc>
          <w:tcPr>
            <w:tcW w:w="6568" w:type="dxa"/>
          </w:tcPr>
          <w:p w14:paraId="1A1AA708" w14:textId="77777777" w:rsidR="00453D15" w:rsidRPr="00453D15" w:rsidRDefault="00453D15" w:rsidP="00453D15">
            <w:pPr>
              <w:rPr>
                <w:u w:val="single"/>
              </w:rPr>
            </w:pPr>
            <w:r w:rsidRPr="69D595FD">
              <w:rPr>
                <w:u w:val="single"/>
              </w:rPr>
              <w:t>Experience required:</w:t>
            </w:r>
          </w:p>
          <w:p w14:paraId="0B868C97" w14:textId="366F4580" w:rsidR="00453D15" w:rsidRPr="00453D15" w:rsidRDefault="00266042" w:rsidP="00453D15">
            <w:pPr>
              <w:pStyle w:val="ListBullet"/>
            </w:pPr>
            <w:r>
              <w:t>T</w:t>
            </w:r>
            <w:r w:rsidR="00453D15">
              <w:t>echnology company/consultant with a proven record of innovation in the mobile platforms in both Android and Apple OS.</w:t>
            </w:r>
          </w:p>
          <w:p w14:paraId="43CC368D" w14:textId="17D25673" w:rsidR="00453D15" w:rsidRPr="00453D15" w:rsidRDefault="00453D15" w:rsidP="00453D15">
            <w:pPr>
              <w:pStyle w:val="ListBullet"/>
            </w:pPr>
            <w:r>
              <w:t>Minimum three (3) years of experience in Mobile Application Development and Management.</w:t>
            </w:r>
          </w:p>
          <w:p w14:paraId="0C5593D2" w14:textId="11050668" w:rsidR="00453D15" w:rsidRPr="00453D15" w:rsidRDefault="00453D15" w:rsidP="00453D15">
            <w:pPr>
              <w:pStyle w:val="ListBullet"/>
            </w:pPr>
            <w:r>
              <w:t>Multimedia Content Development and API</w:t>
            </w:r>
          </w:p>
          <w:p w14:paraId="4A149589" w14:textId="32ACFAFF" w:rsidR="00453D15" w:rsidRDefault="00453D15" w:rsidP="00453D15">
            <w:pPr>
              <w:pStyle w:val="ListBullet"/>
            </w:pPr>
            <w:r>
              <w:t>Knowledge in UI &amp; UX, Code reviews and automation</w:t>
            </w:r>
          </w:p>
          <w:p w14:paraId="15FAEBDA" w14:textId="120C0594" w:rsidR="00E07D4F" w:rsidRPr="00453D15" w:rsidRDefault="00E07D4F" w:rsidP="00E07D4F">
            <w:pPr>
              <w:pStyle w:val="ListBullet"/>
            </w:pPr>
            <w:r w:rsidRPr="00E07D4F">
              <w:t>Demonstrated experience in developing applications with Right-to-Left (RTL) language support, specifically for Arabic</w:t>
            </w:r>
          </w:p>
          <w:p w14:paraId="13070FAC" w14:textId="77777777" w:rsidR="00453D15" w:rsidRDefault="00453D15" w:rsidP="00453D15">
            <w:pPr>
              <w:pStyle w:val="ListBullet"/>
              <w:numPr>
                <w:ilvl w:val="0"/>
                <w:numId w:val="0"/>
              </w:numPr>
            </w:pPr>
          </w:p>
          <w:p w14:paraId="12B99618" w14:textId="3125D271" w:rsidR="00453D15" w:rsidRPr="00453D15" w:rsidRDefault="00453D15" w:rsidP="00453D15">
            <w:pPr>
              <w:pStyle w:val="ListBullet"/>
              <w:numPr>
                <w:ilvl w:val="0"/>
                <w:numId w:val="0"/>
              </w:numPr>
            </w:pPr>
            <w:r w:rsidRPr="00453D15">
              <w:rPr>
                <w:u w:val="single"/>
              </w:rPr>
              <w:t>Skills</w:t>
            </w:r>
            <w:r w:rsidRPr="00453D15">
              <w:t>:</w:t>
            </w:r>
          </w:p>
          <w:p w14:paraId="74BFCAB7" w14:textId="059CEC98" w:rsidR="00453D15" w:rsidRPr="00453D15" w:rsidRDefault="00453D15" w:rsidP="00453D15">
            <w:pPr>
              <w:pStyle w:val="ListBullet"/>
            </w:pPr>
            <w:r>
              <w:t>Project/Programme Management</w:t>
            </w:r>
          </w:p>
          <w:p w14:paraId="1BFABED9" w14:textId="77777777" w:rsidR="004D2E51" w:rsidRPr="00F16520" w:rsidRDefault="00453D15" w:rsidP="00453D15">
            <w:pPr>
              <w:pStyle w:val="ListBullet"/>
              <w:rPr>
                <w:u w:val="single"/>
              </w:rPr>
            </w:pPr>
            <w:r>
              <w:t>Excellent communication skills, oral, written and presentation</w:t>
            </w:r>
          </w:p>
          <w:p w14:paraId="1F6EED7C" w14:textId="200FCA97" w:rsidR="003531AF" w:rsidRDefault="003531AF" w:rsidP="00453D15">
            <w:pPr>
              <w:pStyle w:val="ListBullet"/>
              <w:rPr>
                <w:u w:val="single"/>
              </w:rPr>
            </w:pPr>
            <w:r w:rsidRPr="31677F2D">
              <w:rPr>
                <w:u w:val="single"/>
              </w:rPr>
              <w:t xml:space="preserve">User-centred training across diverse regions and languages </w:t>
            </w:r>
          </w:p>
        </w:tc>
      </w:tr>
      <w:tr w:rsidR="003A3191" w14:paraId="6B3E2B1A" w14:textId="77777777" w:rsidTr="3B890775">
        <w:tc>
          <w:tcPr>
            <w:tcW w:w="2448" w:type="dxa"/>
          </w:tcPr>
          <w:p w14:paraId="6C493E4C" w14:textId="655E5737" w:rsidR="003A3191" w:rsidRDefault="003A3191" w:rsidP="005B3E55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rPr>
                <w:u w:val="single"/>
              </w:rPr>
              <w:t xml:space="preserve">Application information </w:t>
            </w:r>
          </w:p>
        </w:tc>
        <w:tc>
          <w:tcPr>
            <w:tcW w:w="6568" w:type="dxa"/>
          </w:tcPr>
          <w:p w14:paraId="4E06C46D" w14:textId="6D8A8951" w:rsidR="003F1297" w:rsidRDefault="00ED0CC0" w:rsidP="00C26104">
            <w:r w:rsidRPr="00ED0CC0">
              <w:t xml:space="preserve">To apply for this consultancy, please submit </w:t>
            </w:r>
            <w:r w:rsidR="00C26104">
              <w:t xml:space="preserve">an </w:t>
            </w:r>
            <w:r w:rsidR="00C82AD9">
              <w:t>E</w:t>
            </w:r>
            <w:r w:rsidRPr="00ED0CC0">
              <w:t>xpression of Interest responding to the requirements of the consultancy opportunity</w:t>
            </w:r>
            <w:r w:rsidR="003F1297">
              <w:t>.</w:t>
            </w:r>
            <w:r w:rsidR="001052F2">
              <w:t xml:space="preserve"> </w:t>
            </w:r>
            <w:r w:rsidR="001052F2" w:rsidRPr="001052F2">
              <w:t xml:space="preserve">Proposal(s) are to be submitted at </w:t>
            </w:r>
            <w:r w:rsidR="00102EA3">
              <w:rPr>
                <w:b/>
                <w:bCs/>
                <w:u w:val="single"/>
              </w:rPr>
              <w:t>nkapp</w:t>
            </w:r>
            <w:r w:rsidR="001052F2" w:rsidRPr="0054176E">
              <w:rPr>
                <w:b/>
                <w:bCs/>
                <w:u w:val="single"/>
              </w:rPr>
              <w:t>@ippf.org</w:t>
            </w:r>
            <w:r w:rsidR="001052F2" w:rsidRPr="001052F2">
              <w:t xml:space="preserve">, with the subject line ‘Proposal for </w:t>
            </w:r>
            <w:r w:rsidR="00735DDB">
              <w:t xml:space="preserve">QOC Toolkit </w:t>
            </w:r>
            <w:r w:rsidR="00446828">
              <w:t>online solution</w:t>
            </w:r>
            <w:r w:rsidR="001052F2" w:rsidRPr="001052F2">
              <w:t>’ no later than</w:t>
            </w:r>
            <w:r w:rsidR="000D1092">
              <w:t xml:space="preserve"> COB</w:t>
            </w:r>
            <w:r w:rsidR="001052F2" w:rsidRPr="001052F2">
              <w:t xml:space="preserve"> on </w:t>
            </w:r>
            <w:r w:rsidR="00EE2D4B">
              <w:t>9</w:t>
            </w:r>
            <w:r w:rsidR="00D07965">
              <w:t>th January</w:t>
            </w:r>
            <w:r w:rsidR="0054176E">
              <w:t xml:space="preserve"> 202</w:t>
            </w:r>
            <w:r w:rsidR="00EE2D4B">
              <w:t>6</w:t>
            </w:r>
            <w:r w:rsidR="001052F2" w:rsidRPr="001052F2">
              <w:t xml:space="preserve">. </w:t>
            </w:r>
            <w:r w:rsidR="00672BB4">
              <w:t>Expressions of Interest must</w:t>
            </w:r>
            <w:r w:rsidR="001052F2" w:rsidRPr="001052F2">
              <w:t xml:space="preserve"> </w:t>
            </w:r>
            <w:r w:rsidR="00672BB4">
              <w:t xml:space="preserve">include both a technical and financial proposal and </w:t>
            </w:r>
            <w:r w:rsidR="001052F2" w:rsidRPr="001052F2">
              <w:t>must follow the format detailed below:</w:t>
            </w:r>
          </w:p>
          <w:p w14:paraId="46FD99A3" w14:textId="77777777" w:rsidR="003F1297" w:rsidRDefault="003F1297" w:rsidP="00C26104"/>
          <w:p w14:paraId="798BA361" w14:textId="77777777" w:rsidR="00672BB4" w:rsidRPr="00886A9F" w:rsidRDefault="00672BB4" w:rsidP="00672BB4">
            <w:pPr>
              <w:tabs>
                <w:tab w:val="left" w:pos="860"/>
              </w:tabs>
              <w:spacing w:line="276" w:lineRule="auto"/>
              <w:rPr>
                <w:rFonts w:ascii="Calibri" w:eastAsia="Calibri" w:hAnsi="Calibri" w:cs="Calibri"/>
                <w:sz w:val="20"/>
                <w:szCs w:val="20"/>
                <w:u w:val="single"/>
                <w:lang w:val="en-US"/>
              </w:rPr>
            </w:pPr>
            <w:r w:rsidRPr="00886A9F">
              <w:rPr>
                <w:rFonts w:ascii="Calibri" w:eastAsia="Calibri" w:hAnsi="Calibri" w:cs="Calibri"/>
                <w:sz w:val="20"/>
                <w:szCs w:val="20"/>
                <w:u w:val="single"/>
                <w:lang w:val="en-US"/>
              </w:rPr>
              <w:t>Technical proposal</w:t>
            </w:r>
          </w:p>
          <w:tbl>
            <w:tblPr>
              <w:tblW w:w="0" w:type="auto"/>
              <w:tblInd w:w="15" w:type="dxa"/>
              <w:tblLayout w:type="fixed"/>
              <w:tblLook w:val="06A0" w:firstRow="1" w:lastRow="0" w:firstColumn="1" w:lastColumn="0" w:noHBand="1" w:noVBand="1"/>
            </w:tblPr>
            <w:tblGrid>
              <w:gridCol w:w="1351"/>
              <w:gridCol w:w="4966"/>
            </w:tblGrid>
            <w:tr w:rsidR="00672BB4" w:rsidRPr="00886A9F" w14:paraId="270158FA" w14:textId="77777777" w:rsidTr="00D836BB">
              <w:trPr>
                <w:trHeight w:val="288"/>
              </w:trPr>
              <w:tc>
                <w:tcPr>
                  <w:tcW w:w="1351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auto"/>
                    <w:right w:val="single" w:sz="8" w:space="0" w:color="000000" w:themeColor="text1"/>
                  </w:tcBorders>
                  <w:shd w:val="clear" w:color="auto" w:fill="D9D9D9" w:themeFill="background1" w:themeFillShade="D9"/>
                  <w:vAlign w:val="bottom"/>
                </w:tcPr>
                <w:p w14:paraId="7D07B68C" w14:textId="77777777" w:rsidR="00672BB4" w:rsidRPr="00886A9F" w:rsidRDefault="00672BB4" w:rsidP="00672BB4">
                  <w:pPr>
                    <w:spacing w:line="276" w:lineRule="auto"/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  <w:lang w:val="en-US"/>
                    </w:rPr>
                    <w:t>Particulars</w:t>
                  </w:r>
                </w:p>
              </w:tc>
              <w:tc>
                <w:tcPr>
                  <w:tcW w:w="496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D9D9D9" w:themeFill="background1" w:themeFillShade="D9"/>
                  <w:vAlign w:val="bottom"/>
                </w:tcPr>
                <w:p w14:paraId="2BF311DF" w14:textId="77777777" w:rsidR="00672BB4" w:rsidRPr="00886A9F" w:rsidRDefault="00672BB4" w:rsidP="00672BB4">
                  <w:pPr>
                    <w:spacing w:line="276" w:lineRule="auto"/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  <w:lang w:val="en-US"/>
                    </w:rPr>
                    <w:t>Details</w:t>
                  </w:r>
                </w:p>
              </w:tc>
            </w:tr>
            <w:tr w:rsidR="00672BB4" w:rsidRPr="00886A9F" w14:paraId="01DCC19E" w14:textId="77777777" w:rsidTr="00D836BB">
              <w:trPr>
                <w:trHeight w:val="227"/>
              </w:trPr>
              <w:tc>
                <w:tcPr>
                  <w:tcW w:w="13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BF34CD" w14:textId="77777777" w:rsidR="00672BB4" w:rsidRPr="00886A9F" w:rsidRDefault="00672BB4" w:rsidP="009010D5">
                  <w:pPr>
                    <w:spacing w:line="276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Agency details</w:t>
                  </w:r>
                </w:p>
              </w:tc>
              <w:tc>
                <w:tcPr>
                  <w:tcW w:w="4966" w:type="dxa"/>
                  <w:tcBorders>
                    <w:top w:val="single" w:sz="8" w:space="0" w:color="000000" w:themeColor="text1"/>
                    <w:left w:val="single" w:sz="8" w:space="0" w:color="auto"/>
                    <w:bottom w:val="nil"/>
                    <w:right w:val="single" w:sz="8" w:space="0" w:color="000000" w:themeColor="text1"/>
                  </w:tcBorders>
                </w:tcPr>
                <w:p w14:paraId="37598F57" w14:textId="77777777" w:rsidR="00672BB4" w:rsidRPr="00886A9F" w:rsidRDefault="00672BB4" w:rsidP="009010D5">
                  <w:pPr>
                    <w:spacing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Provide details of:</w:t>
                  </w:r>
                </w:p>
              </w:tc>
            </w:tr>
            <w:tr w:rsidR="00672BB4" w:rsidRPr="00886A9F" w14:paraId="5C122AF4" w14:textId="77777777" w:rsidTr="00D836BB">
              <w:trPr>
                <w:trHeight w:val="759"/>
              </w:trPr>
              <w:tc>
                <w:tcPr>
                  <w:tcW w:w="1351" w:type="dxa"/>
                  <w:vMerge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CFC890B" w14:textId="77777777" w:rsidR="00672BB4" w:rsidRPr="00886A9F" w:rsidRDefault="00672BB4" w:rsidP="009010D5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966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 w:themeColor="text1"/>
                  </w:tcBorders>
                </w:tcPr>
                <w:p w14:paraId="4F2218C7" w14:textId="77777777" w:rsidR="00672BB4" w:rsidRPr="00886A9F" w:rsidRDefault="00672BB4" w:rsidP="009010D5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sz w:val="20"/>
                      <w:szCs w:val="20"/>
                      <w:lang w:val="en-US"/>
                    </w:rPr>
                    <w:t xml:space="preserve">Official Name of the applicant agency </w:t>
                  </w:r>
                </w:p>
                <w:p w14:paraId="6A1D7A73" w14:textId="77777777" w:rsidR="00672BB4" w:rsidRPr="00886A9F" w:rsidRDefault="00672BB4" w:rsidP="009010D5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sz w:val="20"/>
                      <w:szCs w:val="20"/>
                      <w:lang w:val="en-US"/>
                    </w:rPr>
                    <w:t>Registered office address</w:t>
                  </w:r>
                </w:p>
                <w:p w14:paraId="07EF7B7A" w14:textId="77777777" w:rsidR="00672BB4" w:rsidRPr="00886A9F" w:rsidRDefault="00672BB4" w:rsidP="4609C99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  <w:lang w:val="fr-FR"/>
                    </w:rPr>
                  </w:pPr>
                  <w:r w:rsidRPr="4609C996">
                    <w:rPr>
                      <w:sz w:val="20"/>
                      <w:szCs w:val="20"/>
                      <w:lang w:val="fr-FR"/>
                    </w:rPr>
                    <w:t>Contact information (e-mail, phone, web site)</w:t>
                  </w:r>
                </w:p>
                <w:p w14:paraId="0960A7CD" w14:textId="77777777" w:rsidR="00672BB4" w:rsidRPr="00886A9F" w:rsidRDefault="00672BB4" w:rsidP="009010D5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sz w:val="20"/>
                      <w:szCs w:val="20"/>
                      <w:lang w:val="en-US"/>
                    </w:rPr>
                    <w:t xml:space="preserve">Official representative </w:t>
                  </w:r>
                </w:p>
              </w:tc>
            </w:tr>
            <w:tr w:rsidR="00672BB4" w:rsidRPr="00886A9F" w14:paraId="1BF56F9C" w14:textId="77777777" w:rsidTr="00D836BB">
              <w:trPr>
                <w:trHeight w:val="896"/>
              </w:trPr>
              <w:tc>
                <w:tcPr>
                  <w:tcW w:w="1351" w:type="dxa"/>
                  <w:tcBorders>
                    <w:top w:val="single" w:sz="8" w:space="0" w:color="auto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4006B76B" w14:textId="77777777" w:rsidR="00672BB4" w:rsidRPr="00886A9F" w:rsidRDefault="00672BB4" w:rsidP="009010D5">
                  <w:pPr>
                    <w:spacing w:line="276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Agency experience/ portfolio</w:t>
                  </w:r>
                </w:p>
                <w:p w14:paraId="5CB76979" w14:textId="77777777" w:rsidR="00672BB4" w:rsidRPr="00886A9F" w:rsidRDefault="00672BB4" w:rsidP="009010D5">
                  <w:pPr>
                    <w:spacing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Maximum 2 pages</w:t>
                  </w:r>
                </w:p>
              </w:tc>
              <w:tc>
                <w:tcPr>
                  <w:tcW w:w="496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03562C7D" w14:textId="0DC795D3" w:rsidR="00672BB4" w:rsidRPr="00886A9F" w:rsidRDefault="00672BB4" w:rsidP="009010D5">
                  <w:pPr>
                    <w:spacing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Provide a list of previous, similar assignments in the past 3 years</w:t>
                  </w:r>
                  <w:r w:rsidR="00633982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with examples attached where possible</w:t>
                  </w: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(see the contractor requirements in section 6 of this document) </w:t>
                  </w:r>
                </w:p>
              </w:tc>
            </w:tr>
            <w:tr w:rsidR="00672BB4" w:rsidRPr="00886A9F" w14:paraId="3A5A1273" w14:textId="77777777" w:rsidTr="31677F2D">
              <w:trPr>
                <w:trHeight w:val="258"/>
              </w:trPr>
              <w:tc>
                <w:tcPr>
                  <w:tcW w:w="1351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31C76FFE" w14:textId="77777777" w:rsidR="00672BB4" w:rsidRPr="00886A9F" w:rsidRDefault="00672BB4" w:rsidP="009010D5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Approach &amp; Methodology</w:t>
                  </w:r>
                </w:p>
                <w:p w14:paraId="4B201F37" w14:textId="07881DAB" w:rsidR="00672BB4" w:rsidRPr="00886A9F" w:rsidRDefault="00672BB4" w:rsidP="009010D5">
                  <w:pPr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  <w:lang w:val="en-US"/>
                    </w:rPr>
                    <w:t xml:space="preserve">Maximum </w:t>
                  </w:r>
                  <w:r w:rsidR="00B62E81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  <w:lang w:val="en-US"/>
                    </w:rPr>
                    <w:t>5</w:t>
                  </w:r>
                  <w:r w:rsidRPr="00886A9F">
                    <w:rPr>
                      <w:rFonts w:ascii="Calibri" w:eastAsia="Calibri" w:hAnsi="Calibri" w:cs="Calibr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pages</w:t>
                  </w:r>
                </w:p>
              </w:tc>
              <w:tc>
                <w:tcPr>
                  <w:tcW w:w="4966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2A5A66CF" w14:textId="77D80245" w:rsidR="00672BB4" w:rsidRPr="00886A9F" w:rsidRDefault="00672BB4" w:rsidP="009010D5">
                  <w:pPr>
                    <w:spacing w:line="276" w:lineRule="auto"/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Provide an overall approach to respond to the scope of work, which include</w:t>
                  </w:r>
                  <w:r w:rsidR="00516257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s</w:t>
                  </w: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:</w:t>
                  </w:r>
                </w:p>
                <w:p w14:paraId="14831444" w14:textId="7A7CB18B" w:rsidR="00672BB4" w:rsidRPr="00EE1D31" w:rsidRDefault="181427E1" w:rsidP="31677F2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EE1D31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Specific details of </w:t>
                  </w:r>
                  <w:r w:rsidR="0145745A" w:rsidRPr="00EE1D31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how to </w:t>
                  </w:r>
                  <w:r w:rsidR="4B15F3F7" w:rsidRPr="00EE1D31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create a solution meeting the criteria outlined</w:t>
                  </w:r>
                  <w:r w:rsidR="65CB4F0D" w:rsidRPr="00EE1D31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;</w:t>
                  </w:r>
                </w:p>
                <w:p w14:paraId="75BB21FC" w14:textId="7D3DD2EF" w:rsidR="00516257" w:rsidRPr="00EE1D31" w:rsidRDefault="4B15F3F7" w:rsidP="31677F2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EE1D31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Proposed timeline for </w:t>
                  </w:r>
                  <w:r w:rsidR="65CB4F0D" w:rsidRPr="00EE1D31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milestones (see section 5);</w:t>
                  </w:r>
                </w:p>
                <w:p w14:paraId="03AD3226" w14:textId="1CB41B7B" w:rsidR="00672BB4" w:rsidRPr="00EE1D31" w:rsidRDefault="00672BB4" w:rsidP="31677F2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EE1D31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Key risks and mitigation strategies to be put in place</w:t>
                  </w:r>
                  <w:r w:rsidR="65CB4F0D" w:rsidRPr="00EE1D31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;</w:t>
                  </w:r>
                </w:p>
                <w:p w14:paraId="26698D2F" w14:textId="448F0C6F" w:rsidR="00672BB4" w:rsidRPr="00EE1D31" w:rsidRDefault="00672BB4" w:rsidP="31677F2D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EE1D31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Team composition and management for the assignment</w:t>
                  </w:r>
                  <w:r w:rsidR="65CB4F0D" w:rsidRPr="00EE1D31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>.</w:t>
                  </w:r>
                  <w:r w:rsidRPr="00EE1D31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</w:tbl>
          <w:p w14:paraId="2F52CBFB" w14:textId="77777777" w:rsidR="00AC5D17" w:rsidRDefault="00AC5D17" w:rsidP="00672BB4">
            <w:pPr>
              <w:tabs>
                <w:tab w:val="left" w:pos="860"/>
              </w:tabs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532FDEEC" w14:textId="77777777" w:rsidR="00AC5D17" w:rsidRDefault="00AC5D17" w:rsidP="00672BB4">
            <w:pPr>
              <w:tabs>
                <w:tab w:val="left" w:pos="860"/>
              </w:tabs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0AAF81F5" w14:textId="77777777" w:rsidR="00672BB4" w:rsidRPr="00886A9F" w:rsidRDefault="00672BB4" w:rsidP="00672BB4">
            <w:pPr>
              <w:tabs>
                <w:tab w:val="left" w:pos="860"/>
              </w:tabs>
              <w:spacing w:line="276" w:lineRule="auto"/>
              <w:rPr>
                <w:rFonts w:ascii="Calibri" w:eastAsia="Calibri" w:hAnsi="Calibri" w:cs="Calibri"/>
                <w:sz w:val="20"/>
                <w:szCs w:val="20"/>
                <w:u w:val="single"/>
                <w:lang w:val="en-US"/>
              </w:rPr>
            </w:pPr>
            <w:r w:rsidRPr="00886A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</w:t>
            </w:r>
            <w:r w:rsidRPr="00886A9F">
              <w:rPr>
                <w:rFonts w:ascii="Calibri" w:eastAsia="Calibri" w:hAnsi="Calibri" w:cs="Calibri"/>
                <w:sz w:val="20"/>
                <w:szCs w:val="20"/>
                <w:u w:val="single"/>
                <w:lang w:val="en-US"/>
              </w:rPr>
              <w:t>Financial Quote</w:t>
            </w:r>
          </w:p>
          <w:p w14:paraId="1E18DC15" w14:textId="4873D861" w:rsidR="00806069" w:rsidRDefault="00672BB4" w:rsidP="00AC5D17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31677F2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The payment</w:t>
            </w:r>
            <w:r w:rsidR="007F0A48">
              <w:rPr>
                <w:rFonts w:ascii="Calibri" w:eastAsia="Calibri" w:hAnsi="Calibri" w:cs="Calibri"/>
                <w:sz w:val="20"/>
                <w:szCs w:val="20"/>
                <w:lang w:val="en-US"/>
              </w:rPr>
              <w:t>s</w:t>
            </w:r>
            <w:r w:rsidRPr="31677F2D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will be split in</w:t>
            </w:r>
            <w:r w:rsidR="00016C31" w:rsidRPr="31677F2D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to</w:t>
            </w:r>
            <w:r w:rsidRPr="31677F2D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 separate instalments according to a calendar of deliverables that will be agreed between the service provider and IPPF at </w:t>
            </w:r>
            <w:r w:rsidR="4F88F2D8" w:rsidRPr="31677F2D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the </w:t>
            </w:r>
            <w:r w:rsidRPr="31677F2D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contract signing stage. </w:t>
            </w:r>
          </w:p>
          <w:p w14:paraId="4786D063" w14:textId="77777777" w:rsidR="00806069" w:rsidRPr="00886A9F" w:rsidRDefault="00806069" w:rsidP="00672BB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</w:p>
          <w:p w14:paraId="05317E5F" w14:textId="77777777" w:rsidR="00672BB4" w:rsidRPr="00886A9F" w:rsidRDefault="00672BB4" w:rsidP="00672BB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86A9F">
              <w:rPr>
                <w:rFonts w:ascii="Calibri" w:eastAsia="Calibri" w:hAnsi="Calibri" w:cs="Calibri"/>
                <w:sz w:val="20"/>
                <w:szCs w:val="20"/>
                <w:lang w:val="en-US"/>
              </w:rPr>
              <w:t>The financial quote should be provided in the table below:</w:t>
            </w:r>
            <w:r w:rsidRPr="00886A9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Ind w:w="15" w:type="dxa"/>
              <w:tblLayout w:type="fixed"/>
              <w:tblLook w:val="06A0" w:firstRow="1" w:lastRow="0" w:firstColumn="1" w:lastColumn="0" w:noHBand="1" w:noVBand="1"/>
            </w:tblPr>
            <w:tblGrid>
              <w:gridCol w:w="904"/>
              <w:gridCol w:w="773"/>
              <w:gridCol w:w="1041"/>
              <w:gridCol w:w="1041"/>
              <w:gridCol w:w="1087"/>
              <w:gridCol w:w="1124"/>
              <w:gridCol w:w="347"/>
            </w:tblGrid>
            <w:tr w:rsidR="00672BB4" w:rsidRPr="00886A9F" w14:paraId="620818C0" w14:textId="77777777" w:rsidTr="00D836BB">
              <w:trPr>
                <w:gridAfter w:val="1"/>
                <w:wAfter w:w="1135" w:type="dxa"/>
                <w:trHeight w:val="825"/>
              </w:trPr>
              <w:tc>
                <w:tcPr>
                  <w:tcW w:w="1135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BFBF" w:themeFill="background1" w:themeFillShade="BF"/>
                  <w:vAlign w:val="bottom"/>
                </w:tcPr>
                <w:p w14:paraId="56C9AD85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Type of costs/ Budget line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FBFBF" w:themeFill="background1" w:themeFillShade="BF"/>
                </w:tcPr>
                <w:p w14:paraId="1212AB33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Type of unit (e.g. daily fee)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FBFBF" w:themeFill="background1" w:themeFillShade="BF"/>
                </w:tcPr>
                <w:p w14:paraId="713E7BDF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Unit value </w:t>
                  </w:r>
                </w:p>
                <w:p w14:paraId="05230AA2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Excluding VAT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FBFBF" w:themeFill="background1" w:themeFillShade="BF"/>
                  <w:vAlign w:val="bottom"/>
                </w:tcPr>
                <w:p w14:paraId="2C5B9CA1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Total line value </w:t>
                  </w:r>
                </w:p>
                <w:p w14:paraId="519493AB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Excluding VAT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FBFBF" w:themeFill="background1" w:themeFillShade="BF"/>
                  <w:vAlign w:val="bottom"/>
                </w:tcPr>
                <w:p w14:paraId="4BF1F664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VAT as per the current rate applicable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FBFBF" w:themeFill="background1" w:themeFillShade="BF"/>
                  <w:vAlign w:val="bottom"/>
                </w:tcPr>
                <w:p w14:paraId="1C862A0E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Total Fee </w:t>
                  </w:r>
                </w:p>
              </w:tc>
            </w:tr>
            <w:tr w:rsidR="00672BB4" w:rsidRPr="00886A9F" w14:paraId="200C8422" w14:textId="77777777" w:rsidTr="00D836BB">
              <w:trPr>
                <w:gridAfter w:val="1"/>
                <w:wAfter w:w="1135" w:type="dxa"/>
                <w:trHeight w:val="270"/>
              </w:trPr>
              <w:tc>
                <w:tcPr>
                  <w:tcW w:w="1135" w:type="dxa"/>
                  <w:vMerge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AA6A65" w14:textId="77777777" w:rsidR="00672BB4" w:rsidRPr="00886A9F" w:rsidRDefault="00672BB4" w:rsidP="00672BB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auto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FBFBF" w:themeFill="background1" w:themeFillShade="BF"/>
                </w:tcPr>
                <w:p w14:paraId="03C08D12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(A)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FBFBF" w:themeFill="background1" w:themeFillShade="BF"/>
                </w:tcPr>
                <w:p w14:paraId="0CF0A011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(B)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FBFBF" w:themeFill="background1" w:themeFillShade="BF"/>
                  <w:vAlign w:val="bottom"/>
                </w:tcPr>
                <w:p w14:paraId="06396C51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(C) = (A) X (B)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FBFBF" w:themeFill="background1" w:themeFillShade="BF"/>
                  <w:vAlign w:val="bottom"/>
                </w:tcPr>
                <w:p w14:paraId="63FD257B" w14:textId="77777777" w:rsidR="00672BB4" w:rsidRPr="00886A9F" w:rsidRDefault="00672BB4" w:rsidP="1B206F0D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1B206F0D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(D) = ..% *(C) 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shd w:val="clear" w:color="auto" w:fill="BFBFBF" w:themeFill="background1" w:themeFillShade="BF"/>
                  <w:vAlign w:val="bottom"/>
                </w:tcPr>
                <w:p w14:paraId="0193D985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(E)=(C)+(D)</w:t>
                  </w:r>
                </w:p>
              </w:tc>
            </w:tr>
            <w:tr w:rsidR="00672BB4" w:rsidRPr="00886A9F" w14:paraId="06427D81" w14:textId="77777777" w:rsidTr="00D836BB">
              <w:trPr>
                <w:gridAfter w:val="1"/>
                <w:wAfter w:w="1135" w:type="dxa"/>
                <w:trHeight w:val="240"/>
              </w:trPr>
              <w:tc>
                <w:tcPr>
                  <w:tcW w:w="1135" w:type="dxa"/>
                  <w:tcBorders>
                    <w:top w:val="single" w:sz="8" w:space="0" w:color="auto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bottom"/>
                </w:tcPr>
                <w:p w14:paraId="1B35C467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78BC5D4C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6D5425CE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bottom"/>
                </w:tcPr>
                <w:p w14:paraId="503B355D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bottom"/>
                </w:tcPr>
                <w:p w14:paraId="0A7B0F6C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bottom"/>
                </w:tcPr>
                <w:p w14:paraId="2E0B6585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672BB4" w:rsidRPr="00886A9F" w14:paraId="64F3035F" w14:textId="77777777" w:rsidTr="1B206F0D">
              <w:trPr>
                <w:gridAfter w:val="1"/>
                <w:wAfter w:w="1135" w:type="dxa"/>
                <w:trHeight w:val="300"/>
              </w:trPr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bottom"/>
                </w:tcPr>
                <w:p w14:paraId="3FD57DB4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7C4432EF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5F630524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bottom"/>
                </w:tcPr>
                <w:p w14:paraId="74C91BE7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bottom"/>
                </w:tcPr>
                <w:p w14:paraId="62406759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135" w:type="dxa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  <w:vAlign w:val="bottom"/>
                </w:tcPr>
                <w:p w14:paraId="5BC9BA0A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672BB4" w:rsidRPr="00886A9F" w14:paraId="079C8814" w14:textId="77777777" w:rsidTr="1B206F0D">
              <w:trPr>
                <w:trHeight w:val="300"/>
              </w:trPr>
              <w:tc>
                <w:tcPr>
                  <w:tcW w:w="7945" w:type="dxa"/>
                  <w:gridSpan w:val="7"/>
                  <w:tcBorders>
                    <w:top w:val="single" w:sz="8" w:space="0" w:color="000000" w:themeColor="text1"/>
                    <w:left w:val="single" w:sz="8" w:space="0" w:color="000000" w:themeColor="text1"/>
                    <w:bottom w:val="single" w:sz="8" w:space="0" w:color="000000" w:themeColor="text1"/>
                    <w:right w:val="single" w:sz="8" w:space="0" w:color="000000" w:themeColor="text1"/>
                  </w:tcBorders>
                </w:tcPr>
                <w:p w14:paraId="59D5495F" w14:textId="77777777" w:rsidR="00672BB4" w:rsidRPr="00886A9F" w:rsidRDefault="00672BB4" w:rsidP="00672BB4">
                  <w:pP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I am: </w:t>
                  </w:r>
                </w:p>
                <w:p w14:paraId="666CB6FF" w14:textId="77777777" w:rsidR="00672BB4" w:rsidRPr="00886A9F" w:rsidRDefault="00672BB4" w:rsidP="00672BB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sz w:val="20"/>
                      <w:szCs w:val="20"/>
                      <w:lang w:val="en-US"/>
                    </w:rPr>
                    <w:t>a VAT Payer, and my VAT number is: …........</w:t>
                  </w:r>
                </w:p>
                <w:p w14:paraId="73B54DA5" w14:textId="77777777" w:rsidR="00672BB4" w:rsidRPr="00886A9F" w:rsidRDefault="00672BB4" w:rsidP="00672BB4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  <w:lang w:val="en-US"/>
                    </w:rPr>
                  </w:pPr>
                  <w:r w:rsidRPr="00886A9F">
                    <w:rPr>
                      <w:sz w:val="20"/>
                      <w:szCs w:val="20"/>
                      <w:lang w:val="en-US"/>
                    </w:rPr>
                    <w:t xml:space="preserve">not a VAT Payer and: </w:t>
                  </w:r>
                </w:p>
                <w:p w14:paraId="0D709A32" w14:textId="77777777" w:rsidR="00672BB4" w:rsidRPr="00886A9F" w:rsidRDefault="00672BB4" w:rsidP="4609C996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4609C996">
                    <w:rPr>
                      <w:sz w:val="20"/>
                      <w:szCs w:val="20"/>
                    </w:rPr>
                    <w:t>the reason for VAT exemptions is (</w:t>
                  </w:r>
                  <w:r w:rsidRPr="4609C996">
                    <w:rPr>
                      <w:i/>
                      <w:iCs/>
                      <w:sz w:val="20"/>
                      <w:szCs w:val="20"/>
                    </w:rPr>
                    <w:t>according to country legislation in which you are registered for fiscal purposes</w:t>
                  </w:r>
                  <w:r w:rsidRPr="4609C996">
                    <w:rPr>
                      <w:sz w:val="20"/>
                      <w:szCs w:val="20"/>
                    </w:rPr>
                    <w:t>) : …....</w:t>
                  </w:r>
                </w:p>
                <w:p w14:paraId="33D82F54" w14:textId="77777777" w:rsidR="00672BB4" w:rsidRPr="00886A9F" w:rsidRDefault="00672BB4" w:rsidP="00672BB4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sz w:val="20"/>
                      <w:szCs w:val="20"/>
                    </w:rPr>
                  </w:pPr>
                  <w:r w:rsidRPr="00886A9F">
                    <w:rPr>
                      <w:sz w:val="20"/>
                      <w:szCs w:val="20"/>
                    </w:rPr>
                    <w:t xml:space="preserve">My fiscal identification number (e.g. company number) is: ...... </w:t>
                  </w:r>
                </w:p>
              </w:tc>
            </w:tr>
          </w:tbl>
          <w:p w14:paraId="1D725F8E" w14:textId="77777777" w:rsidR="003F1297" w:rsidRDefault="003F1297" w:rsidP="00C26104"/>
          <w:p w14:paraId="1C9486D1" w14:textId="32629E3A" w:rsidR="00AC5D17" w:rsidRDefault="00AC5D17" w:rsidP="00AC5D17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US"/>
              </w:rPr>
              <w:lastRenderedPageBreak/>
              <w:t>If desired, please also add a quote for ongoing maintenance and service for the finished product, for a fixed number of hours to cover security upgrades, updates and any other necessary tasks. This would not be included in the maximum budget stated above.</w:t>
            </w:r>
          </w:p>
          <w:p w14:paraId="619192EC" w14:textId="77777777" w:rsidR="00AC5D17" w:rsidRPr="00014D9C" w:rsidRDefault="00AC5D17" w:rsidP="00C26104">
            <w:pPr>
              <w:rPr>
                <w:lang w:val="en-US"/>
              </w:rPr>
            </w:pPr>
          </w:p>
          <w:p w14:paraId="50E7E4B7" w14:textId="1E85287D" w:rsidR="003A3191" w:rsidRPr="00ED0CC0" w:rsidRDefault="003A3191" w:rsidP="000B2BD1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14:paraId="78D73B5E" w14:textId="77777777" w:rsidR="004D2E51" w:rsidRPr="004D2E51" w:rsidRDefault="004D2E51" w:rsidP="004D2E51">
      <w:pPr>
        <w:rPr>
          <w:u w:val="single"/>
        </w:rPr>
      </w:pPr>
    </w:p>
    <w:sectPr w:rsidR="004D2E51" w:rsidRPr="004D2E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875E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8222F4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987D8B"/>
    <w:multiLevelType w:val="hybridMultilevel"/>
    <w:tmpl w:val="314207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46C45"/>
    <w:multiLevelType w:val="hybridMultilevel"/>
    <w:tmpl w:val="C38EA3B2"/>
    <w:lvl w:ilvl="0" w:tplc="A836C8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61B82"/>
    <w:multiLevelType w:val="hybridMultilevel"/>
    <w:tmpl w:val="FFFFFFFF"/>
    <w:lvl w:ilvl="0" w:tplc="EDC8D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AEB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E1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AA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6EE0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B80D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C0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4C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30C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2DAB2"/>
    <w:multiLevelType w:val="hybridMultilevel"/>
    <w:tmpl w:val="16E6EA2A"/>
    <w:lvl w:ilvl="0" w:tplc="F2CE920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2E725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E0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09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4C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C0F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8A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AE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AE3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D01B6"/>
    <w:multiLevelType w:val="hybridMultilevel"/>
    <w:tmpl w:val="D7EE3F6C"/>
    <w:lvl w:ilvl="0" w:tplc="A5AEA5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F60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E77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C3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62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00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8F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04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901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E1667"/>
    <w:multiLevelType w:val="hybridMultilevel"/>
    <w:tmpl w:val="7E4A639C"/>
    <w:lvl w:ilvl="0" w:tplc="F5FC80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D8A1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A00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6C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AB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647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883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E4B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9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CB410"/>
    <w:multiLevelType w:val="hybridMultilevel"/>
    <w:tmpl w:val="A08EF358"/>
    <w:lvl w:ilvl="0" w:tplc="29B0BDEC">
      <w:start w:val="1"/>
      <w:numFmt w:val="decimal"/>
      <w:lvlText w:val="%1."/>
      <w:lvlJc w:val="left"/>
      <w:pPr>
        <w:ind w:left="360" w:hanging="360"/>
      </w:pPr>
    </w:lvl>
    <w:lvl w:ilvl="1" w:tplc="76EEE986">
      <w:start w:val="1"/>
      <w:numFmt w:val="lowerLetter"/>
      <w:lvlText w:val="%2."/>
      <w:lvlJc w:val="left"/>
      <w:pPr>
        <w:ind w:left="1080" w:hanging="360"/>
      </w:pPr>
    </w:lvl>
    <w:lvl w:ilvl="2" w:tplc="513A7494">
      <w:start w:val="1"/>
      <w:numFmt w:val="lowerRoman"/>
      <w:lvlText w:val="%3."/>
      <w:lvlJc w:val="right"/>
      <w:pPr>
        <w:ind w:left="1800" w:hanging="180"/>
      </w:pPr>
    </w:lvl>
    <w:lvl w:ilvl="3" w:tplc="F4BC8B82">
      <w:start w:val="1"/>
      <w:numFmt w:val="decimal"/>
      <w:lvlText w:val="%4."/>
      <w:lvlJc w:val="left"/>
      <w:pPr>
        <w:ind w:left="2520" w:hanging="360"/>
      </w:pPr>
    </w:lvl>
    <w:lvl w:ilvl="4" w:tplc="A34C3208">
      <w:start w:val="1"/>
      <w:numFmt w:val="lowerLetter"/>
      <w:lvlText w:val="%5."/>
      <w:lvlJc w:val="left"/>
      <w:pPr>
        <w:ind w:left="3240" w:hanging="360"/>
      </w:pPr>
    </w:lvl>
    <w:lvl w:ilvl="5" w:tplc="DA14C0C4">
      <w:start w:val="1"/>
      <w:numFmt w:val="lowerRoman"/>
      <w:lvlText w:val="%6."/>
      <w:lvlJc w:val="right"/>
      <w:pPr>
        <w:ind w:left="3960" w:hanging="180"/>
      </w:pPr>
    </w:lvl>
    <w:lvl w:ilvl="6" w:tplc="B31267AC">
      <w:start w:val="1"/>
      <w:numFmt w:val="decimal"/>
      <w:lvlText w:val="%7."/>
      <w:lvlJc w:val="left"/>
      <w:pPr>
        <w:ind w:left="4680" w:hanging="360"/>
      </w:pPr>
    </w:lvl>
    <w:lvl w:ilvl="7" w:tplc="B598FAFE">
      <w:start w:val="1"/>
      <w:numFmt w:val="lowerLetter"/>
      <w:lvlText w:val="%8."/>
      <w:lvlJc w:val="left"/>
      <w:pPr>
        <w:ind w:left="5400" w:hanging="360"/>
      </w:pPr>
    </w:lvl>
    <w:lvl w:ilvl="8" w:tplc="8670F44E">
      <w:start w:val="1"/>
      <w:numFmt w:val="lowerRoman"/>
      <w:lvlText w:val="%9."/>
      <w:lvlJc w:val="right"/>
      <w:pPr>
        <w:ind w:left="6120" w:hanging="180"/>
      </w:pPr>
    </w:lvl>
  </w:abstractNum>
  <w:num w:numId="1" w16cid:durableId="560747918">
    <w:abstractNumId w:val="4"/>
  </w:num>
  <w:num w:numId="2" w16cid:durableId="662662405">
    <w:abstractNumId w:val="2"/>
  </w:num>
  <w:num w:numId="3" w16cid:durableId="1263876836">
    <w:abstractNumId w:val="1"/>
  </w:num>
  <w:num w:numId="4" w16cid:durableId="421411989">
    <w:abstractNumId w:val="0"/>
  </w:num>
  <w:num w:numId="5" w16cid:durableId="273680655">
    <w:abstractNumId w:val="5"/>
  </w:num>
  <w:num w:numId="6" w16cid:durableId="1399982352">
    <w:abstractNumId w:val="6"/>
  </w:num>
  <w:num w:numId="7" w16cid:durableId="245067726">
    <w:abstractNumId w:val="7"/>
  </w:num>
  <w:num w:numId="8" w16cid:durableId="828251255">
    <w:abstractNumId w:val="8"/>
  </w:num>
  <w:num w:numId="9" w16cid:durableId="576793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51"/>
    <w:rsid w:val="00012A7E"/>
    <w:rsid w:val="00014D9C"/>
    <w:rsid w:val="00015BC1"/>
    <w:rsid w:val="000165C6"/>
    <w:rsid w:val="00016C31"/>
    <w:rsid w:val="00034396"/>
    <w:rsid w:val="0003545A"/>
    <w:rsid w:val="00046706"/>
    <w:rsid w:val="0004751A"/>
    <w:rsid w:val="00050FD2"/>
    <w:rsid w:val="00054B02"/>
    <w:rsid w:val="000561D5"/>
    <w:rsid w:val="0006546A"/>
    <w:rsid w:val="00070592"/>
    <w:rsid w:val="00071811"/>
    <w:rsid w:val="00087B6F"/>
    <w:rsid w:val="000B2BD1"/>
    <w:rsid w:val="000C4990"/>
    <w:rsid w:val="000D1092"/>
    <w:rsid w:val="001000C3"/>
    <w:rsid w:val="00101BDA"/>
    <w:rsid w:val="00102EA3"/>
    <w:rsid w:val="001052F2"/>
    <w:rsid w:val="0011608A"/>
    <w:rsid w:val="001266BF"/>
    <w:rsid w:val="00130B6B"/>
    <w:rsid w:val="00133BCF"/>
    <w:rsid w:val="001405A0"/>
    <w:rsid w:val="00145208"/>
    <w:rsid w:val="001466E0"/>
    <w:rsid w:val="00153D8F"/>
    <w:rsid w:val="00174EFA"/>
    <w:rsid w:val="00176D24"/>
    <w:rsid w:val="001828D7"/>
    <w:rsid w:val="0018659E"/>
    <w:rsid w:val="00193AAE"/>
    <w:rsid w:val="001B0DFF"/>
    <w:rsid w:val="001C0316"/>
    <w:rsid w:val="001F317A"/>
    <w:rsid w:val="002005D6"/>
    <w:rsid w:val="00220ADC"/>
    <w:rsid w:val="00221EEF"/>
    <w:rsid w:val="0023166E"/>
    <w:rsid w:val="00262B95"/>
    <w:rsid w:val="00266042"/>
    <w:rsid w:val="00272003"/>
    <w:rsid w:val="002A52B4"/>
    <w:rsid w:val="002A70AB"/>
    <w:rsid w:val="002B0DD0"/>
    <w:rsid w:val="002B69FA"/>
    <w:rsid w:val="002C06F8"/>
    <w:rsid w:val="002D0BEF"/>
    <w:rsid w:val="002E4B21"/>
    <w:rsid w:val="002E5AF9"/>
    <w:rsid w:val="002F3EC3"/>
    <w:rsid w:val="002F7FF4"/>
    <w:rsid w:val="00310289"/>
    <w:rsid w:val="00311A61"/>
    <w:rsid w:val="0033010F"/>
    <w:rsid w:val="003531AF"/>
    <w:rsid w:val="00361AB0"/>
    <w:rsid w:val="0038008B"/>
    <w:rsid w:val="00385866"/>
    <w:rsid w:val="003A077B"/>
    <w:rsid w:val="003A2BDD"/>
    <w:rsid w:val="003A3191"/>
    <w:rsid w:val="003A32E6"/>
    <w:rsid w:val="003A4EB3"/>
    <w:rsid w:val="003D27AD"/>
    <w:rsid w:val="003F1297"/>
    <w:rsid w:val="003F34B5"/>
    <w:rsid w:val="00401677"/>
    <w:rsid w:val="00411916"/>
    <w:rsid w:val="00427474"/>
    <w:rsid w:val="00446828"/>
    <w:rsid w:val="0044750E"/>
    <w:rsid w:val="0045312B"/>
    <w:rsid w:val="00453D15"/>
    <w:rsid w:val="00466DB5"/>
    <w:rsid w:val="00482DF8"/>
    <w:rsid w:val="004B15C0"/>
    <w:rsid w:val="004C4A98"/>
    <w:rsid w:val="004D2E51"/>
    <w:rsid w:val="004D5784"/>
    <w:rsid w:val="004E7039"/>
    <w:rsid w:val="00511458"/>
    <w:rsid w:val="00516257"/>
    <w:rsid w:val="00523D7D"/>
    <w:rsid w:val="0053359A"/>
    <w:rsid w:val="0054176E"/>
    <w:rsid w:val="00544A06"/>
    <w:rsid w:val="00561433"/>
    <w:rsid w:val="00582B18"/>
    <w:rsid w:val="005A4F86"/>
    <w:rsid w:val="005B3E55"/>
    <w:rsid w:val="005C33F2"/>
    <w:rsid w:val="005F3085"/>
    <w:rsid w:val="00621020"/>
    <w:rsid w:val="00631680"/>
    <w:rsid w:val="00633982"/>
    <w:rsid w:val="00633F87"/>
    <w:rsid w:val="006436FB"/>
    <w:rsid w:val="00646D8C"/>
    <w:rsid w:val="00652579"/>
    <w:rsid w:val="00656FD9"/>
    <w:rsid w:val="006579C0"/>
    <w:rsid w:val="00664D22"/>
    <w:rsid w:val="00672BB4"/>
    <w:rsid w:val="006772F0"/>
    <w:rsid w:val="00691E57"/>
    <w:rsid w:val="006A1127"/>
    <w:rsid w:val="006A579A"/>
    <w:rsid w:val="006B4DE9"/>
    <w:rsid w:val="006C6F3A"/>
    <w:rsid w:val="006E4C19"/>
    <w:rsid w:val="00702077"/>
    <w:rsid w:val="00714FA6"/>
    <w:rsid w:val="0071650F"/>
    <w:rsid w:val="00735DDB"/>
    <w:rsid w:val="00740D6C"/>
    <w:rsid w:val="00753727"/>
    <w:rsid w:val="00794123"/>
    <w:rsid w:val="007A21B8"/>
    <w:rsid w:val="007A612D"/>
    <w:rsid w:val="007A668C"/>
    <w:rsid w:val="007A7BB2"/>
    <w:rsid w:val="007C2E83"/>
    <w:rsid w:val="007C4D1C"/>
    <w:rsid w:val="007F0A48"/>
    <w:rsid w:val="007F0E8D"/>
    <w:rsid w:val="00806069"/>
    <w:rsid w:val="00813B00"/>
    <w:rsid w:val="00826EE7"/>
    <w:rsid w:val="00860551"/>
    <w:rsid w:val="008774FB"/>
    <w:rsid w:val="00884E45"/>
    <w:rsid w:val="008924C2"/>
    <w:rsid w:val="008A45FC"/>
    <w:rsid w:val="008A5246"/>
    <w:rsid w:val="008A590A"/>
    <w:rsid w:val="008B036B"/>
    <w:rsid w:val="008B5BA9"/>
    <w:rsid w:val="008D5AC7"/>
    <w:rsid w:val="008E2D66"/>
    <w:rsid w:val="008E5CFF"/>
    <w:rsid w:val="008E7C54"/>
    <w:rsid w:val="008F2436"/>
    <w:rsid w:val="009010D5"/>
    <w:rsid w:val="0091524C"/>
    <w:rsid w:val="00925A23"/>
    <w:rsid w:val="00964159"/>
    <w:rsid w:val="00964491"/>
    <w:rsid w:val="00972EB9"/>
    <w:rsid w:val="00996F9F"/>
    <w:rsid w:val="009A1ADE"/>
    <w:rsid w:val="009A77FB"/>
    <w:rsid w:val="009C2A2F"/>
    <w:rsid w:val="009C4513"/>
    <w:rsid w:val="009D0C33"/>
    <w:rsid w:val="009D5EC1"/>
    <w:rsid w:val="009E0181"/>
    <w:rsid w:val="009E321D"/>
    <w:rsid w:val="009F2624"/>
    <w:rsid w:val="009F2FFB"/>
    <w:rsid w:val="00A02CF0"/>
    <w:rsid w:val="00A5058E"/>
    <w:rsid w:val="00A5176E"/>
    <w:rsid w:val="00A86658"/>
    <w:rsid w:val="00AA307C"/>
    <w:rsid w:val="00AA5F2D"/>
    <w:rsid w:val="00AA76B2"/>
    <w:rsid w:val="00AB26C6"/>
    <w:rsid w:val="00AC5D17"/>
    <w:rsid w:val="00AD33B4"/>
    <w:rsid w:val="00AD57ED"/>
    <w:rsid w:val="00AE6EBE"/>
    <w:rsid w:val="00B07B1D"/>
    <w:rsid w:val="00B1267D"/>
    <w:rsid w:val="00B167FE"/>
    <w:rsid w:val="00B27A18"/>
    <w:rsid w:val="00B367D5"/>
    <w:rsid w:val="00B45541"/>
    <w:rsid w:val="00B62E81"/>
    <w:rsid w:val="00B6601D"/>
    <w:rsid w:val="00B82E44"/>
    <w:rsid w:val="00B82FFA"/>
    <w:rsid w:val="00B86344"/>
    <w:rsid w:val="00BA616B"/>
    <w:rsid w:val="00BB7E7F"/>
    <w:rsid w:val="00BD1BBE"/>
    <w:rsid w:val="00BE45BC"/>
    <w:rsid w:val="00BE5978"/>
    <w:rsid w:val="00BF79B8"/>
    <w:rsid w:val="00C11036"/>
    <w:rsid w:val="00C119AB"/>
    <w:rsid w:val="00C15F86"/>
    <w:rsid w:val="00C2242E"/>
    <w:rsid w:val="00C26104"/>
    <w:rsid w:val="00C31321"/>
    <w:rsid w:val="00C33786"/>
    <w:rsid w:val="00C348CE"/>
    <w:rsid w:val="00C51BD6"/>
    <w:rsid w:val="00C54ABC"/>
    <w:rsid w:val="00C55EDB"/>
    <w:rsid w:val="00C821CB"/>
    <w:rsid w:val="00C82AD9"/>
    <w:rsid w:val="00C9013F"/>
    <w:rsid w:val="00CA3AF8"/>
    <w:rsid w:val="00CA76E9"/>
    <w:rsid w:val="00CC43A4"/>
    <w:rsid w:val="00D02924"/>
    <w:rsid w:val="00D05E1E"/>
    <w:rsid w:val="00D07965"/>
    <w:rsid w:val="00D11E33"/>
    <w:rsid w:val="00D15C9E"/>
    <w:rsid w:val="00D20038"/>
    <w:rsid w:val="00D47682"/>
    <w:rsid w:val="00D65130"/>
    <w:rsid w:val="00D768B0"/>
    <w:rsid w:val="00D826CB"/>
    <w:rsid w:val="00D836BB"/>
    <w:rsid w:val="00D86DE8"/>
    <w:rsid w:val="00DB5A01"/>
    <w:rsid w:val="00DC283E"/>
    <w:rsid w:val="00DD590F"/>
    <w:rsid w:val="00E07B3E"/>
    <w:rsid w:val="00E07D4F"/>
    <w:rsid w:val="00E263A4"/>
    <w:rsid w:val="00E417FD"/>
    <w:rsid w:val="00E4415B"/>
    <w:rsid w:val="00E455C7"/>
    <w:rsid w:val="00E5702F"/>
    <w:rsid w:val="00E913AA"/>
    <w:rsid w:val="00E91E04"/>
    <w:rsid w:val="00E94609"/>
    <w:rsid w:val="00EA0F14"/>
    <w:rsid w:val="00EA0F99"/>
    <w:rsid w:val="00EC1A92"/>
    <w:rsid w:val="00ED0CC0"/>
    <w:rsid w:val="00EE1D31"/>
    <w:rsid w:val="00EE2D4B"/>
    <w:rsid w:val="00EE576B"/>
    <w:rsid w:val="00F0595D"/>
    <w:rsid w:val="00F143B3"/>
    <w:rsid w:val="00F16520"/>
    <w:rsid w:val="00F165A8"/>
    <w:rsid w:val="00F2206F"/>
    <w:rsid w:val="00F332B0"/>
    <w:rsid w:val="00F42034"/>
    <w:rsid w:val="00F46EB3"/>
    <w:rsid w:val="00F51AE2"/>
    <w:rsid w:val="00F81867"/>
    <w:rsid w:val="00FA5AFD"/>
    <w:rsid w:val="00FB7279"/>
    <w:rsid w:val="00FB7340"/>
    <w:rsid w:val="00FC04AD"/>
    <w:rsid w:val="00FC105A"/>
    <w:rsid w:val="00FC28AE"/>
    <w:rsid w:val="00FD0244"/>
    <w:rsid w:val="00FD0399"/>
    <w:rsid w:val="00FD4ECB"/>
    <w:rsid w:val="00FD70E7"/>
    <w:rsid w:val="00FF2EA0"/>
    <w:rsid w:val="00FF76C1"/>
    <w:rsid w:val="0145745A"/>
    <w:rsid w:val="03DA058F"/>
    <w:rsid w:val="053F8641"/>
    <w:rsid w:val="064F57BA"/>
    <w:rsid w:val="0B2DF6E7"/>
    <w:rsid w:val="181427E1"/>
    <w:rsid w:val="1B206F0D"/>
    <w:rsid w:val="1B35A15D"/>
    <w:rsid w:val="1D1D9FF3"/>
    <w:rsid w:val="1DA8354B"/>
    <w:rsid w:val="1E34FC2A"/>
    <w:rsid w:val="21846EC5"/>
    <w:rsid w:val="26991702"/>
    <w:rsid w:val="285A4D8E"/>
    <w:rsid w:val="31677F2D"/>
    <w:rsid w:val="354D4D4A"/>
    <w:rsid w:val="39E0AB68"/>
    <w:rsid w:val="3B890775"/>
    <w:rsid w:val="4192E6C6"/>
    <w:rsid w:val="449A4C16"/>
    <w:rsid w:val="4609C996"/>
    <w:rsid w:val="476CF89F"/>
    <w:rsid w:val="4AA4372F"/>
    <w:rsid w:val="4B15F3F7"/>
    <w:rsid w:val="4D1603DF"/>
    <w:rsid w:val="4E322650"/>
    <w:rsid w:val="4F88F2D8"/>
    <w:rsid w:val="572C9999"/>
    <w:rsid w:val="59569889"/>
    <w:rsid w:val="5F39429F"/>
    <w:rsid w:val="603B1F22"/>
    <w:rsid w:val="61067FC7"/>
    <w:rsid w:val="64CA3360"/>
    <w:rsid w:val="65CB4F0D"/>
    <w:rsid w:val="69D595FD"/>
    <w:rsid w:val="6A12846A"/>
    <w:rsid w:val="72FF38A0"/>
    <w:rsid w:val="7A976B78"/>
    <w:rsid w:val="7E134D91"/>
    <w:rsid w:val="7F77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7001C"/>
  <w15:chartTrackingRefBased/>
  <w15:docId w15:val="{2C799FF0-148B-46DC-8760-512BE64F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E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2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7C2E83"/>
    <w:pPr>
      <w:numPr>
        <w:numId w:val="3"/>
      </w:numPr>
      <w:contextualSpacing/>
    </w:pPr>
  </w:style>
  <w:style w:type="paragraph" w:customStyle="1" w:styleId="Default">
    <w:name w:val="Default"/>
    <w:rsid w:val="00FF2E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5C33F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4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AB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12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fa42c1-7250-4abb-86ef-45351be5f2f0" xsi:nil="true"/>
    <lcf76f155ced4ddcb4097134ff3c332f xmlns="c22e6c47-ae95-41fa-b792-c6705bc3ae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1DA16283471428615D2FFA8A9E375" ma:contentTypeVersion="12" ma:contentTypeDescription="Create a new document." ma:contentTypeScope="" ma:versionID="cb63adb258367550eda700dc71f250f7">
  <xsd:schema xmlns:xsd="http://www.w3.org/2001/XMLSchema" xmlns:xs="http://www.w3.org/2001/XMLSchema" xmlns:p="http://schemas.microsoft.com/office/2006/metadata/properties" xmlns:ns2="c22e6c47-ae95-41fa-b792-c6705bc3ae6f" xmlns:ns3="65fa42c1-7250-4abb-86ef-45351be5f2f0" targetNamespace="http://schemas.microsoft.com/office/2006/metadata/properties" ma:root="true" ma:fieldsID="b4e7b610390d8937df23630cc0d3def9" ns2:_="" ns3:_="">
    <xsd:import namespace="c22e6c47-ae95-41fa-b792-c6705bc3ae6f"/>
    <xsd:import namespace="65fa42c1-7250-4abb-86ef-45351be5f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e6c47-ae95-41fa-b792-c6705bc3a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01d558d-d313-4f1d-868c-6b3a2833d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a42c1-7250-4abb-86ef-45351be5f2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9361ae-c440-48c1-b004-027501579b26}" ma:internalName="TaxCatchAll" ma:showField="CatchAllData" ma:web="65fa42c1-7250-4abb-86ef-45351be5f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D4F1-7F5F-452D-B2B2-94E4486275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586E4C-A7AA-48B2-B206-591CBD234AC0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65fa42c1-7250-4abb-86ef-45351be5f2f0"/>
    <ds:schemaRef ds:uri="c22e6c47-ae95-41fa-b792-c6705bc3ae6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0B71CE-B622-424B-902A-6F83C9EC4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e6c47-ae95-41fa-b792-c6705bc3ae6f"/>
    <ds:schemaRef ds:uri="65fa42c1-7250-4abb-86ef-45351be5f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71F9E4-BE61-40C7-A347-D5C69EC4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5</Pages>
  <Words>1287</Words>
  <Characters>7340</Characters>
  <Application>Microsoft Office Word</Application>
  <DocSecurity>0</DocSecurity>
  <Lines>61</Lines>
  <Paragraphs>17</Paragraphs>
  <ScaleCrop>false</ScaleCrop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Newton</dc:creator>
  <cp:keywords/>
  <dc:description/>
  <cp:lastModifiedBy>Nathalie Kapp</cp:lastModifiedBy>
  <cp:revision>33</cp:revision>
  <dcterms:created xsi:type="dcterms:W3CDTF">2025-12-08T15:35:00Z</dcterms:created>
  <dcterms:modified xsi:type="dcterms:W3CDTF">2025-12-12T11:13:00Z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0x0101002421DA16283471428615D2FFA8A9E375</vt:lpwstr>
  </property>
  <property fmtid="{D5CDD505-2E9C-101B-9397-08002B2CF9AE}" pid="3" name="MediaServiceImageTags">
    <vt:lpwstr/>
  </property>
</Properties>
</file>