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5624" w14:textId="77777777" w:rsidR="00A03BC5" w:rsidRDefault="00000000" w:rsidP="00D922C1">
      <w:pPr>
        <w:rPr>
          <w:b/>
          <w:bCs/>
          <w:sz w:val="28"/>
          <w:szCs w:val="28"/>
        </w:rPr>
      </w:pPr>
      <w:r>
        <w:rPr>
          <w:b/>
          <w:bCs/>
          <w:noProof/>
          <w:sz w:val="28"/>
          <w:szCs w:val="28"/>
        </w:rPr>
        <w:drawing>
          <wp:inline distT="0" distB="0" distL="0" distR="0" wp14:anchorId="76D36DE5" wp14:editId="282BEC45">
            <wp:extent cx="2590800" cy="48260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83055" name="Picture 1" descr="Logo, 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90800" cy="482600"/>
                    </a:xfrm>
                    <a:prstGeom prst="rect">
                      <a:avLst/>
                    </a:prstGeom>
                  </pic:spPr>
                </pic:pic>
              </a:graphicData>
            </a:graphic>
          </wp:inline>
        </w:drawing>
      </w:r>
    </w:p>
    <w:p w14:paraId="0DEBA408" w14:textId="77777777" w:rsidR="00A03BC5" w:rsidRDefault="00A03BC5" w:rsidP="00D922C1">
      <w:pPr>
        <w:bidi/>
        <w:jc w:val="center"/>
        <w:rPr>
          <w:b/>
          <w:bCs/>
          <w:sz w:val="28"/>
          <w:szCs w:val="28"/>
        </w:rPr>
      </w:pPr>
    </w:p>
    <w:p w14:paraId="2400919D" w14:textId="77777777" w:rsidR="00A03BC5" w:rsidRDefault="00A03BC5" w:rsidP="00D922C1">
      <w:pPr>
        <w:bidi/>
        <w:jc w:val="center"/>
        <w:rPr>
          <w:b/>
          <w:bCs/>
          <w:sz w:val="28"/>
          <w:szCs w:val="28"/>
        </w:rPr>
      </w:pPr>
    </w:p>
    <w:p w14:paraId="44DEEB2F" w14:textId="77777777" w:rsidR="00DD581E" w:rsidRDefault="00000000" w:rsidP="00D922C1">
      <w:pPr>
        <w:bidi/>
        <w:jc w:val="center"/>
        <w:rPr>
          <w:b/>
          <w:bCs/>
          <w:sz w:val="28"/>
          <w:szCs w:val="28"/>
        </w:rPr>
      </w:pPr>
      <w:r w:rsidRPr="004E1F0D">
        <w:rPr>
          <w:b/>
          <w:bCs/>
          <w:sz w:val="28"/>
          <w:szCs w:val="28"/>
          <w:rtl/>
          <w:lang w:val="ar"/>
        </w:rPr>
        <w:t>الإطار المرجعي: إعادة إطلاق شاملة على المستوى العالمي</w:t>
      </w:r>
    </w:p>
    <w:p w14:paraId="36F137ED" w14:textId="77777777" w:rsidR="004E1F0D" w:rsidRDefault="004E1F0D" w:rsidP="00D922C1">
      <w:pPr>
        <w:bidi/>
        <w:jc w:val="center"/>
        <w:rPr>
          <w:b/>
          <w:bCs/>
          <w:sz w:val="28"/>
          <w:szCs w:val="28"/>
        </w:rPr>
      </w:pPr>
    </w:p>
    <w:p w14:paraId="5EFB4E5F" w14:textId="77777777" w:rsidR="004E1F0D" w:rsidRPr="003B4540" w:rsidRDefault="00000000" w:rsidP="00D922C1">
      <w:pPr>
        <w:pStyle w:val="ListParagraph"/>
        <w:numPr>
          <w:ilvl w:val="0"/>
          <w:numId w:val="1"/>
        </w:numPr>
        <w:bidi/>
        <w:rPr>
          <w:b/>
          <w:bCs/>
        </w:rPr>
      </w:pPr>
      <w:r w:rsidRPr="003B4540">
        <w:rPr>
          <w:b/>
          <w:bCs/>
          <w:rtl/>
          <w:lang w:val="ar"/>
        </w:rPr>
        <w:t>حول الاتحاد الدولي لتنظيم الأسرة (IPPF)</w:t>
      </w:r>
    </w:p>
    <w:p w14:paraId="69FA7318" w14:textId="77777777" w:rsidR="004E1F0D" w:rsidRDefault="004E1F0D" w:rsidP="00D922C1">
      <w:pPr>
        <w:bidi/>
        <w:rPr>
          <w:b/>
          <w:bCs/>
        </w:rPr>
      </w:pPr>
    </w:p>
    <w:p w14:paraId="481E3EBA" w14:textId="77777777" w:rsidR="004E1F0D" w:rsidRDefault="00000000" w:rsidP="00D922C1">
      <w:pPr>
        <w:bidi/>
      </w:pPr>
      <w:r>
        <w:rPr>
          <w:rtl/>
          <w:lang w:val="ar"/>
        </w:rPr>
        <w:t>على مدى 70 عاماً، كان الاتحاد الدولي لتنظيم الأسرة (IPPF) واحداً من أبرز مقدمي الصحة الإنجابية والجنسية ويناصر حماية وتعزيز الحقوق الإنجابية والجنسية.</w:t>
      </w:r>
    </w:p>
    <w:p w14:paraId="4B594BB2" w14:textId="77777777" w:rsidR="00BE1D17" w:rsidRDefault="00BE1D17" w:rsidP="00D922C1">
      <w:pPr>
        <w:bidi/>
      </w:pPr>
    </w:p>
    <w:p w14:paraId="3BB9DB9C" w14:textId="77777777" w:rsidR="003B4540" w:rsidRDefault="00000000" w:rsidP="00D922C1">
      <w:pPr>
        <w:bidi/>
      </w:pPr>
      <w:r>
        <w:rPr>
          <w:rtl/>
          <w:lang w:val="ar"/>
        </w:rPr>
        <w:t xml:space="preserve">يعمل الإتحاد الدولي لتنظيم الأسرة في أكثر من 140 دولة ويتكون من 132 جمعية أعضاء مملوكة ومُدارة محلياً. </w:t>
      </w:r>
      <w:proofErr w:type="gramStart"/>
      <w:r>
        <w:rPr>
          <w:rtl/>
          <w:lang w:val="ar"/>
        </w:rPr>
        <w:t>وتدعم  هذه</w:t>
      </w:r>
      <w:proofErr w:type="gramEnd"/>
      <w:r>
        <w:rPr>
          <w:rtl/>
          <w:lang w:val="ar"/>
        </w:rPr>
        <w:t xml:space="preserve"> الجمعيات وتوفر الخدمات الصحية، وتساعد في حماية ودفع السياسات إلى الأمام للمساعدة في تحسين حياة الأشخاص الذين يسعون للحصول على رعاية صحية آمنة وعالية الجودة وبتكاليف ضمن متناول اليد. هدفنا بسيط: لن نستثني أي إنسان، وسوف نضمن أن يحصل كل إنسان في كل مكان على حقه في الاستقلالية الجسدية ويمارس حقه من خلال حرية الاختيار الجنسية والإنجابية.</w:t>
      </w:r>
    </w:p>
    <w:p w14:paraId="642AB162" w14:textId="77777777" w:rsidR="003B66CC" w:rsidRDefault="003B66CC" w:rsidP="00D922C1">
      <w:pPr>
        <w:bidi/>
      </w:pPr>
    </w:p>
    <w:p w14:paraId="54E3E1E7" w14:textId="77777777" w:rsidR="003B66CC" w:rsidRPr="003B4540" w:rsidRDefault="00000000" w:rsidP="00D922C1">
      <w:pPr>
        <w:pStyle w:val="ListParagraph"/>
        <w:numPr>
          <w:ilvl w:val="0"/>
          <w:numId w:val="1"/>
        </w:numPr>
        <w:bidi/>
        <w:rPr>
          <w:b/>
          <w:bCs/>
        </w:rPr>
      </w:pPr>
      <w:r w:rsidRPr="003B4540">
        <w:rPr>
          <w:b/>
          <w:bCs/>
          <w:rtl/>
          <w:lang w:val="ar"/>
        </w:rPr>
        <w:t>الهدف من إعادة الإطلاق</w:t>
      </w:r>
    </w:p>
    <w:p w14:paraId="455E4AF0" w14:textId="77777777" w:rsidR="003B66CC" w:rsidRDefault="003B66CC" w:rsidP="00D922C1">
      <w:pPr>
        <w:bidi/>
        <w:rPr>
          <w:b/>
          <w:bCs/>
        </w:rPr>
      </w:pPr>
    </w:p>
    <w:p w14:paraId="4D6DA1DE" w14:textId="77777777" w:rsidR="003B4540" w:rsidRDefault="00000000" w:rsidP="00D922C1">
      <w:pPr>
        <w:bidi/>
      </w:pPr>
      <w:r>
        <w:rPr>
          <w:rtl/>
          <w:lang w:val="ar"/>
        </w:rPr>
        <w:t xml:space="preserve">في شهر تشرين الثاني/نوفمبر 2022، أصبح عمر الاتحاد 70 عاماً وللاحتفاء بهذا الإنجاز، تبنى اتحاد الدولي لتنظيم الأسرة استراتيجية جديدة جريئة هي </w:t>
      </w:r>
      <w:hyperlink r:id="rId7" w:history="1">
        <w:r w:rsidRPr="537E804D">
          <w:rPr>
            <w:rStyle w:val="Hyperlink"/>
            <w:rtl/>
            <w:lang w:val="ar"/>
          </w:rPr>
          <w:t>تظافر الجهود 2023-2028</w:t>
        </w:r>
      </w:hyperlink>
      <w:r>
        <w:rPr>
          <w:rtl/>
          <w:lang w:val="ar"/>
        </w:rPr>
        <w:t>. تعكس الاستراتيجية "الجديدة" للاتحاد الدولي لتنظيم الأسرة إلى إرساء اتجاه جريء للاتحاد الدولي لتنظيم الأسرة ليكون أجرئ وأشجع وأكثر غضباً من أي وقت مضى. تضع الاستراتيجية الشباب والإبداع في محور طريقة تقديمنا الرعاية، ولكي نجسد هذا، نحن بحاجة إلى تصوّر جديد لعلامة الاتحاد الدولي لتنظيم الأسرة للوصول إلى أكبر عدد ممكن من الشباب ولكي نقدم أفضل رعاية ممكنة.  سوف تكون الاستراتيجية متسقة مع ميثاق القيم الجديد الذي يُعرّف القيم الأساسية ورسالة الاتحاد الدولي لتنظيم الأسرة.</w:t>
      </w:r>
    </w:p>
    <w:p w14:paraId="01E7A2D6" w14:textId="77777777" w:rsidR="00B41911" w:rsidRDefault="00B41911" w:rsidP="00D922C1">
      <w:pPr>
        <w:bidi/>
      </w:pPr>
    </w:p>
    <w:p w14:paraId="2E5E8F69" w14:textId="77777777" w:rsidR="00B41911" w:rsidRDefault="00000000" w:rsidP="00D922C1">
      <w:pPr>
        <w:bidi/>
      </w:pPr>
      <w:r>
        <w:rPr>
          <w:rtl/>
          <w:lang w:val="ar"/>
        </w:rPr>
        <w:t>الهدف من إعادة الإطلاق على مستوى العالم هو منح صوتاً ومظهراً وإحساساً خارجياً لميثاق القيم واستراتيجية تظافر الجهود 2023-2028، وسوف تسير عملية وضع ميثاق القيم بشكل وثيق مع عملية إعادة الإطلاق على المستوى العالمي.</w:t>
      </w:r>
    </w:p>
    <w:p w14:paraId="7CB0744D" w14:textId="77777777" w:rsidR="003B4540" w:rsidRDefault="003B4540" w:rsidP="00D922C1">
      <w:pPr>
        <w:bidi/>
      </w:pPr>
    </w:p>
    <w:p w14:paraId="511E7548" w14:textId="77777777" w:rsidR="003B4540" w:rsidRDefault="00000000" w:rsidP="00D922C1">
      <w:pPr>
        <w:pStyle w:val="ListParagraph"/>
        <w:numPr>
          <w:ilvl w:val="0"/>
          <w:numId w:val="1"/>
        </w:numPr>
        <w:bidi/>
        <w:rPr>
          <w:b/>
          <w:bCs/>
        </w:rPr>
      </w:pPr>
      <w:r w:rsidRPr="003B4540">
        <w:rPr>
          <w:b/>
          <w:bCs/>
          <w:rtl/>
          <w:lang w:val="ar"/>
        </w:rPr>
        <w:t xml:space="preserve"> مجال العمل</w:t>
      </w:r>
    </w:p>
    <w:p w14:paraId="18862CDE" w14:textId="77777777" w:rsidR="00B41911" w:rsidRDefault="00B41911" w:rsidP="00D922C1">
      <w:pPr>
        <w:bidi/>
        <w:rPr>
          <w:b/>
          <w:bCs/>
        </w:rPr>
      </w:pPr>
    </w:p>
    <w:p w14:paraId="6E73EEBA" w14:textId="77777777" w:rsidR="00B41911" w:rsidRPr="00B41911" w:rsidRDefault="00000000" w:rsidP="00D922C1">
      <w:pPr>
        <w:pStyle w:val="ListParagraph"/>
        <w:numPr>
          <w:ilvl w:val="0"/>
          <w:numId w:val="2"/>
        </w:numPr>
        <w:bidi/>
      </w:pPr>
      <w:r w:rsidRPr="00B41911">
        <w:rPr>
          <w:rtl/>
          <w:lang w:val="ar"/>
        </w:rPr>
        <w:t>خلق وتقديم شعار جديد ومواد إعلانية تشمل جميع الأصول على شبكة الإنترنت والأصول غير المتصلة بالإنترنت (سوف يُؤكد هذا حالما يحدث تدقيق الأصول). سوف تُرسل جميع الملفات الخام (RAW) إلى الاتحاد الدولي لتنظيم الأسرة عند اكتمالها.</w:t>
      </w:r>
    </w:p>
    <w:p w14:paraId="709A4A9B" w14:textId="77777777" w:rsidR="00B41911" w:rsidRPr="00B41911" w:rsidRDefault="00000000" w:rsidP="00D922C1">
      <w:pPr>
        <w:pStyle w:val="ListParagraph"/>
        <w:numPr>
          <w:ilvl w:val="0"/>
          <w:numId w:val="2"/>
        </w:numPr>
        <w:bidi/>
      </w:pPr>
      <w:r>
        <w:rPr>
          <w:rtl/>
          <w:lang w:val="ar"/>
        </w:rPr>
        <w:t>ورشات تصوّر العلامة ومقابلات مع الأطراف الداخلية والخارجية المعنية من خلال المقابلات النوعية والاستطلاعات الكمية.</w:t>
      </w:r>
    </w:p>
    <w:p w14:paraId="6A2D1205" w14:textId="77777777" w:rsidR="003B4540" w:rsidRPr="00B41911" w:rsidRDefault="00000000" w:rsidP="00D922C1">
      <w:pPr>
        <w:pStyle w:val="ListParagraph"/>
        <w:numPr>
          <w:ilvl w:val="0"/>
          <w:numId w:val="2"/>
        </w:numPr>
        <w:bidi/>
      </w:pPr>
      <w:r w:rsidRPr="00B41911">
        <w:rPr>
          <w:rtl/>
          <w:lang w:val="ar"/>
        </w:rPr>
        <w:t>إجراء تحليل منافس.</w:t>
      </w:r>
    </w:p>
    <w:p w14:paraId="5E193171" w14:textId="77777777" w:rsidR="00B41911" w:rsidRPr="00B41911" w:rsidRDefault="00000000" w:rsidP="00D922C1">
      <w:pPr>
        <w:pStyle w:val="ListParagraph"/>
        <w:numPr>
          <w:ilvl w:val="0"/>
          <w:numId w:val="2"/>
        </w:numPr>
        <w:bidi/>
      </w:pPr>
      <w:r w:rsidRPr="00B41911">
        <w:rPr>
          <w:rtl/>
          <w:lang w:val="ar"/>
        </w:rPr>
        <w:t xml:space="preserve">تطوير استراتيجية العلامة (المبادئ </w:t>
      </w:r>
      <w:proofErr w:type="spellStart"/>
      <w:r w:rsidRPr="00B41911">
        <w:rPr>
          <w:rtl/>
          <w:lang w:val="ar"/>
        </w:rPr>
        <w:t>التوجهية</w:t>
      </w:r>
      <w:proofErr w:type="spellEnd"/>
      <w:r w:rsidRPr="00B41911">
        <w:rPr>
          <w:rtl/>
          <w:lang w:val="ar"/>
        </w:rPr>
        <w:t>، ونبرة الصوت والرسائل ودليل اللغة المُحدّث).</w:t>
      </w:r>
    </w:p>
    <w:p w14:paraId="078A9DE9" w14:textId="77777777" w:rsidR="00B41911" w:rsidRPr="00B41911" w:rsidRDefault="00000000" w:rsidP="00D922C1">
      <w:pPr>
        <w:pStyle w:val="ListParagraph"/>
        <w:numPr>
          <w:ilvl w:val="0"/>
          <w:numId w:val="2"/>
        </w:numPr>
        <w:bidi/>
      </w:pPr>
      <w:r w:rsidRPr="00B41911">
        <w:rPr>
          <w:rtl/>
          <w:lang w:val="ar"/>
        </w:rPr>
        <w:t>العمل مع الاتحاد الدولي لتنظيم الأسرة لتصميم وإصدار الندوات عبر الإنترنت لتشجيع الجمعيات الأعضاء ومشاركة الشباب.</w:t>
      </w:r>
    </w:p>
    <w:p w14:paraId="6BD8AFA9" w14:textId="77777777" w:rsidR="00B41911" w:rsidRDefault="00000000" w:rsidP="00D922C1">
      <w:pPr>
        <w:pStyle w:val="ListParagraph"/>
        <w:numPr>
          <w:ilvl w:val="0"/>
          <w:numId w:val="2"/>
        </w:numPr>
        <w:bidi/>
      </w:pPr>
      <w:r w:rsidRPr="00B41911">
        <w:rPr>
          <w:rtl/>
          <w:lang w:val="ar"/>
        </w:rPr>
        <w:t xml:space="preserve">العمل مع مستشارين من أطراف ثالثة للمساعدة في وضع لغة وخطاب من خلال وضع إطار الأصول والعدسات متعددة الجوانب. </w:t>
      </w:r>
    </w:p>
    <w:p w14:paraId="72D7D330" w14:textId="77777777" w:rsidR="007378F9" w:rsidRDefault="00000000" w:rsidP="00D922C1">
      <w:pPr>
        <w:pStyle w:val="ListParagraph"/>
        <w:numPr>
          <w:ilvl w:val="0"/>
          <w:numId w:val="2"/>
        </w:numPr>
        <w:bidi/>
      </w:pPr>
      <w:r>
        <w:rPr>
          <w:rtl/>
          <w:lang w:val="ar"/>
        </w:rPr>
        <w:t>المساعدة في وضع (لكن دون تنفيذ) حملة إعادة الإطلاق في الربع الأول من عام 2024.</w:t>
      </w:r>
    </w:p>
    <w:p w14:paraId="5CCDCEBF" w14:textId="77777777" w:rsidR="00393F2A" w:rsidRDefault="00393F2A" w:rsidP="00D922C1">
      <w:pPr>
        <w:bidi/>
      </w:pPr>
    </w:p>
    <w:p w14:paraId="5E816E65" w14:textId="77777777" w:rsidR="00393F2A" w:rsidRDefault="00393F2A" w:rsidP="00D922C1">
      <w:pPr>
        <w:bidi/>
      </w:pPr>
    </w:p>
    <w:p w14:paraId="2674FFF2" w14:textId="77777777" w:rsidR="00393F2A" w:rsidRDefault="00393F2A" w:rsidP="00D922C1">
      <w:pPr>
        <w:bidi/>
      </w:pPr>
    </w:p>
    <w:p w14:paraId="718BA5ED" w14:textId="77777777" w:rsidR="00393F2A" w:rsidRDefault="00000000" w:rsidP="00D922C1">
      <w:pPr>
        <w:pStyle w:val="ListParagraph"/>
        <w:numPr>
          <w:ilvl w:val="0"/>
          <w:numId w:val="1"/>
        </w:numPr>
        <w:bidi/>
        <w:rPr>
          <w:b/>
          <w:bCs/>
        </w:rPr>
      </w:pPr>
      <w:r w:rsidRPr="00393F2A">
        <w:rPr>
          <w:b/>
          <w:bCs/>
          <w:rtl/>
          <w:lang w:val="ar"/>
        </w:rPr>
        <w:lastRenderedPageBreak/>
        <w:t>المسار الزمني</w:t>
      </w:r>
    </w:p>
    <w:p w14:paraId="15696C16" w14:textId="77777777" w:rsidR="00B52958" w:rsidRDefault="00B52958" w:rsidP="00D922C1">
      <w:pPr>
        <w:pStyle w:val="ListParagraph"/>
        <w:bidi/>
        <w:rPr>
          <w:b/>
          <w:bCs/>
        </w:rPr>
      </w:pPr>
    </w:p>
    <w:p w14:paraId="08644C8E" w14:textId="77777777" w:rsidR="00B52958" w:rsidRPr="00B52958" w:rsidRDefault="00000000" w:rsidP="00D922C1">
      <w:pPr>
        <w:bidi/>
      </w:pPr>
      <w:r>
        <w:rPr>
          <w:rtl/>
          <w:lang w:val="ar"/>
        </w:rPr>
        <w:t xml:space="preserve">سوف تكون عملية إعادة الإطلاق على مستوى العالم عملية تمتد على مدى 12 شهر. تجدر الإشارة إلى أن تصميم حملة الإطلاق مشمولة ضمن هذه المدة، لكن تنفيذها ليس ضمنها وسوف تُذكر وتُموّل بشكل منفصل بوصفها مكوّن إضافي. </w:t>
      </w:r>
    </w:p>
    <w:p w14:paraId="0AD99EC8" w14:textId="77777777" w:rsidR="00393F2A" w:rsidRDefault="00393F2A" w:rsidP="00D922C1">
      <w:pPr>
        <w:bidi/>
        <w:ind w:left="360"/>
        <w:rPr>
          <w:b/>
          <w:bCs/>
        </w:rPr>
      </w:pPr>
    </w:p>
    <w:tbl>
      <w:tblPr>
        <w:tblStyle w:val="TableGrid"/>
        <w:tblW w:w="0" w:type="auto"/>
        <w:tblInd w:w="360" w:type="dxa"/>
        <w:tblLook w:val="04A0" w:firstRow="1" w:lastRow="0" w:firstColumn="1" w:lastColumn="0" w:noHBand="0" w:noVBand="1"/>
      </w:tblPr>
      <w:tblGrid>
        <w:gridCol w:w="2470"/>
        <w:gridCol w:w="6180"/>
      </w:tblGrid>
      <w:tr w:rsidR="00D56989" w14:paraId="1A48BAAA" w14:textId="77777777" w:rsidTr="0EB92256">
        <w:trPr>
          <w:trHeight w:val="1662"/>
        </w:trPr>
        <w:tc>
          <w:tcPr>
            <w:tcW w:w="2470" w:type="dxa"/>
          </w:tcPr>
          <w:p w14:paraId="59AD252A" w14:textId="0460A360" w:rsidR="00B46044" w:rsidRDefault="00000000" w:rsidP="00D922C1">
            <w:pPr>
              <w:bidi/>
              <w:rPr>
                <w:b/>
                <w:bCs/>
              </w:rPr>
            </w:pPr>
            <w:r>
              <w:rPr>
                <w:b/>
                <w:bCs/>
                <w:rtl/>
                <w:lang w:val="ar"/>
              </w:rPr>
              <w:t xml:space="preserve">المرحلة </w:t>
            </w:r>
            <w:r w:rsidR="00D922C1">
              <w:rPr>
                <w:rFonts w:hint="cs"/>
                <w:b/>
                <w:bCs/>
                <w:rtl/>
                <w:lang w:val="ar"/>
              </w:rPr>
              <w:t>الأولى</w:t>
            </w:r>
            <w:r>
              <w:rPr>
                <w:b/>
                <w:bCs/>
                <w:rtl/>
                <w:lang w:val="ar"/>
              </w:rPr>
              <w:t xml:space="preserve">: ضم وكالة إبداعية وإطلاق تدقيق العلامة ومرحلة تصوّر العلامة </w:t>
            </w:r>
          </w:p>
        </w:tc>
        <w:tc>
          <w:tcPr>
            <w:tcW w:w="6180" w:type="dxa"/>
          </w:tcPr>
          <w:p w14:paraId="6277932C" w14:textId="77777777" w:rsidR="00B46044" w:rsidRDefault="00000000" w:rsidP="00D922C1">
            <w:pPr>
              <w:bidi/>
              <w:rPr>
                <w:b/>
                <w:bCs/>
              </w:rPr>
            </w:pPr>
            <w:r>
              <w:rPr>
                <w:b/>
                <w:bCs/>
                <w:rtl/>
                <w:lang w:val="ar"/>
              </w:rPr>
              <w:t>الربع الأول من عام 2023</w:t>
            </w:r>
          </w:p>
          <w:p w14:paraId="2055F3CD" w14:textId="77777777" w:rsidR="00E37016" w:rsidRDefault="00E37016" w:rsidP="00D922C1">
            <w:pPr>
              <w:bidi/>
              <w:rPr>
                <w:b/>
                <w:bCs/>
              </w:rPr>
            </w:pPr>
          </w:p>
          <w:p w14:paraId="1C76B9C5" w14:textId="77777777" w:rsidR="00005034" w:rsidRDefault="00000000" w:rsidP="00D922C1">
            <w:pPr>
              <w:bidi/>
            </w:pPr>
            <w:r w:rsidRPr="00E37016">
              <w:rPr>
                <w:rtl/>
                <w:lang w:val="ar"/>
              </w:rPr>
              <w:t>منتصف شباط/فبراير: ضم وكالة إبداعية</w:t>
            </w:r>
          </w:p>
          <w:p w14:paraId="11C17A2F" w14:textId="77777777" w:rsidR="00BD0E2E" w:rsidRPr="00E37016" w:rsidRDefault="00BD0E2E" w:rsidP="00D922C1">
            <w:pPr>
              <w:bidi/>
            </w:pPr>
          </w:p>
          <w:p w14:paraId="2EB614CD" w14:textId="671D3132" w:rsidR="00BD0E2E" w:rsidRPr="00FF17C8" w:rsidRDefault="00000000" w:rsidP="00D922C1">
            <w:pPr>
              <w:bidi/>
            </w:pPr>
            <w:r w:rsidRPr="00E37016">
              <w:rPr>
                <w:rtl/>
                <w:lang w:val="ar"/>
              </w:rPr>
              <w:t>شباط-فبراير - آذار/مارس: تدقيق أصل العلامة (داخلياً) وتصوّر العلامة من خلال سلسلة من الورشات والمقابلات والندوات عبر الإنترنت مع الشباب والجمعيات الأعضاء. يبدأ بحث تحليل المنافس.</w:t>
            </w:r>
          </w:p>
        </w:tc>
      </w:tr>
      <w:tr w:rsidR="00D56989" w14:paraId="42743158" w14:textId="77777777" w:rsidTr="00FF17C8">
        <w:trPr>
          <w:trHeight w:val="2402"/>
        </w:trPr>
        <w:tc>
          <w:tcPr>
            <w:tcW w:w="2470" w:type="dxa"/>
          </w:tcPr>
          <w:p w14:paraId="732DDC74" w14:textId="77777777" w:rsidR="00B46044" w:rsidRDefault="00000000" w:rsidP="00D922C1">
            <w:pPr>
              <w:bidi/>
              <w:rPr>
                <w:b/>
                <w:bCs/>
              </w:rPr>
            </w:pPr>
            <w:r>
              <w:rPr>
                <w:b/>
                <w:bCs/>
                <w:rtl/>
                <w:lang w:val="ar"/>
              </w:rPr>
              <w:t>المرحلة الثانية: تدقيق معمّق للعلامة، والتحليل ووضع اللمسات النهائية على تصوّر العلامة وأول إصدار لمفاهيم التصميم (البصري واللفظي)</w:t>
            </w:r>
          </w:p>
        </w:tc>
        <w:tc>
          <w:tcPr>
            <w:tcW w:w="6180" w:type="dxa"/>
          </w:tcPr>
          <w:p w14:paraId="416F4008" w14:textId="77777777" w:rsidR="00B46044" w:rsidRDefault="00000000" w:rsidP="00D922C1">
            <w:pPr>
              <w:bidi/>
              <w:rPr>
                <w:b/>
                <w:bCs/>
              </w:rPr>
            </w:pPr>
            <w:r>
              <w:rPr>
                <w:b/>
                <w:bCs/>
                <w:rtl/>
                <w:lang w:val="ar"/>
              </w:rPr>
              <w:t>الربع الثاني من عام 2023</w:t>
            </w:r>
          </w:p>
          <w:p w14:paraId="63F85057" w14:textId="77777777" w:rsidR="00BD0E2E" w:rsidRDefault="00BD0E2E" w:rsidP="00D922C1">
            <w:pPr>
              <w:bidi/>
              <w:rPr>
                <w:b/>
                <w:bCs/>
              </w:rPr>
            </w:pPr>
          </w:p>
          <w:p w14:paraId="482F06DA" w14:textId="77777777" w:rsidR="00BD0E2E" w:rsidRDefault="00000000" w:rsidP="00D922C1">
            <w:pPr>
              <w:bidi/>
            </w:pPr>
            <w:r w:rsidRPr="00EC7BBE">
              <w:rPr>
                <w:rtl/>
                <w:lang w:val="ar"/>
              </w:rPr>
              <w:t xml:space="preserve">نيسان/أبريل - أيار/مايو: وضع اللمسات النهائية على النتائج وبدء تأليف نتائج الورشات، والتدقيق، وعمل تصوّر العلامة، وتحليل المنافس للاستفادة منها في المسودة الأولى من علامة الاتحاد الدولي لتنظيم الأسرة. </w:t>
            </w:r>
          </w:p>
          <w:p w14:paraId="4F26AC97" w14:textId="77777777" w:rsidR="00EC7BBE" w:rsidRDefault="00EC7BBE" w:rsidP="00D922C1">
            <w:pPr>
              <w:bidi/>
            </w:pPr>
          </w:p>
          <w:p w14:paraId="19B7FD11" w14:textId="6D1984A2" w:rsidR="00FF17C8" w:rsidRPr="00FF17C8" w:rsidRDefault="00000000" w:rsidP="00D922C1">
            <w:pPr>
              <w:bidi/>
              <w:rPr>
                <w:lang w:val="ar"/>
              </w:rPr>
            </w:pPr>
            <w:r>
              <w:rPr>
                <w:rtl/>
                <w:lang w:val="ar"/>
              </w:rPr>
              <w:t>أيار/مايو-حزيران/يونيو: أول إصدار لأصول التصميم لإعادة الإطلاق. العمل مع وضع أطر للأصول في اللغة وصوت العلامة وإرسال الرسائل.</w:t>
            </w:r>
          </w:p>
        </w:tc>
      </w:tr>
      <w:tr w:rsidR="00D56989" w14:paraId="423E3EB4" w14:textId="77777777" w:rsidTr="0EB92256">
        <w:tc>
          <w:tcPr>
            <w:tcW w:w="2470" w:type="dxa"/>
          </w:tcPr>
          <w:p w14:paraId="7E95D156" w14:textId="77777777" w:rsidR="00B46044" w:rsidRDefault="00000000" w:rsidP="00D922C1">
            <w:pPr>
              <w:bidi/>
              <w:rPr>
                <w:b/>
                <w:bCs/>
              </w:rPr>
            </w:pPr>
            <w:r>
              <w:rPr>
                <w:b/>
                <w:bCs/>
                <w:rtl/>
                <w:lang w:val="ar"/>
              </w:rPr>
              <w:t>المرحلة الثالثة: الحوار والمعارضة</w:t>
            </w:r>
          </w:p>
        </w:tc>
        <w:tc>
          <w:tcPr>
            <w:tcW w:w="6180" w:type="dxa"/>
          </w:tcPr>
          <w:p w14:paraId="548CBE50" w14:textId="77777777" w:rsidR="00B46044" w:rsidRDefault="00000000" w:rsidP="00D922C1">
            <w:pPr>
              <w:bidi/>
              <w:rPr>
                <w:b/>
                <w:bCs/>
              </w:rPr>
            </w:pPr>
            <w:r>
              <w:rPr>
                <w:b/>
                <w:bCs/>
                <w:rtl/>
                <w:lang w:val="ar"/>
              </w:rPr>
              <w:t>الربع الثالث من عام 2023</w:t>
            </w:r>
          </w:p>
          <w:p w14:paraId="366DD675" w14:textId="77777777" w:rsidR="00027E2B" w:rsidRDefault="00027E2B" w:rsidP="00D922C1">
            <w:pPr>
              <w:bidi/>
              <w:rPr>
                <w:b/>
                <w:bCs/>
              </w:rPr>
            </w:pPr>
          </w:p>
          <w:p w14:paraId="2EC926B7" w14:textId="77777777" w:rsidR="00027E2B" w:rsidRDefault="00000000" w:rsidP="00D922C1">
            <w:pPr>
              <w:bidi/>
            </w:pPr>
            <w:r w:rsidRPr="009969A7">
              <w:rPr>
                <w:rtl/>
                <w:lang w:val="ar"/>
              </w:rPr>
              <w:t>تموز/يوليو-آب/أغسطس: سلسلة من الندوات عبر الإنترنت والاستقصاءات للحصول على انطباعات الأطراف المعنية حول الإطلاق الأول لمظهر والشعور واستراتيجية العلامة.</w:t>
            </w:r>
          </w:p>
          <w:p w14:paraId="75DEF6A5" w14:textId="77777777" w:rsidR="009969A7" w:rsidRDefault="009969A7" w:rsidP="00D922C1">
            <w:pPr>
              <w:bidi/>
            </w:pPr>
          </w:p>
          <w:p w14:paraId="05A912AE" w14:textId="77777777" w:rsidR="009969A7" w:rsidRPr="009969A7" w:rsidRDefault="00000000" w:rsidP="00D922C1">
            <w:pPr>
              <w:bidi/>
            </w:pPr>
            <w:r>
              <w:rPr>
                <w:rtl/>
                <w:lang w:val="ar"/>
              </w:rPr>
              <w:t>أيلول/سبتمبر-تشرين الأول/أكتوبر: وضع الإطلاق الثاني للعلامة باستخدام الرؤى والانطباعات.</w:t>
            </w:r>
          </w:p>
        </w:tc>
      </w:tr>
      <w:tr w:rsidR="00D56989" w14:paraId="1B8A4810" w14:textId="77777777" w:rsidTr="0EB92256">
        <w:tc>
          <w:tcPr>
            <w:tcW w:w="2470" w:type="dxa"/>
          </w:tcPr>
          <w:p w14:paraId="68F860A5" w14:textId="77777777" w:rsidR="00B46044" w:rsidRDefault="00000000" w:rsidP="00D922C1">
            <w:pPr>
              <w:bidi/>
              <w:rPr>
                <w:b/>
                <w:bCs/>
              </w:rPr>
            </w:pPr>
            <w:r>
              <w:rPr>
                <w:b/>
                <w:bCs/>
                <w:rtl/>
                <w:lang w:val="ar"/>
              </w:rPr>
              <w:t>المرحلة الرابعة: التسليم النهائي</w:t>
            </w:r>
          </w:p>
        </w:tc>
        <w:tc>
          <w:tcPr>
            <w:tcW w:w="6180" w:type="dxa"/>
          </w:tcPr>
          <w:p w14:paraId="1BA0914E" w14:textId="77777777" w:rsidR="00B46044" w:rsidRDefault="00000000" w:rsidP="00D922C1">
            <w:pPr>
              <w:bidi/>
              <w:rPr>
                <w:b/>
                <w:bCs/>
              </w:rPr>
            </w:pPr>
            <w:r>
              <w:rPr>
                <w:b/>
                <w:bCs/>
                <w:rtl/>
                <w:lang w:val="ar"/>
              </w:rPr>
              <w:t>الربع الرابع من عام 2023</w:t>
            </w:r>
          </w:p>
          <w:p w14:paraId="79F31E5F" w14:textId="77777777" w:rsidR="009969A7" w:rsidRDefault="009969A7" w:rsidP="00D922C1">
            <w:pPr>
              <w:bidi/>
              <w:rPr>
                <w:b/>
                <w:bCs/>
              </w:rPr>
            </w:pPr>
          </w:p>
          <w:p w14:paraId="7EE115D3" w14:textId="77777777" w:rsidR="009969A7" w:rsidRPr="00552B73" w:rsidRDefault="00000000" w:rsidP="00D922C1">
            <w:pPr>
              <w:bidi/>
            </w:pPr>
            <w:r w:rsidRPr="00552B73">
              <w:rPr>
                <w:rtl/>
                <w:lang w:val="ar"/>
              </w:rPr>
              <w:t>تشرين الأول/أكتوبر: تسليم جميع الأصول الموافق عليها</w:t>
            </w:r>
          </w:p>
          <w:p w14:paraId="0D76A450" w14:textId="690D610E" w:rsidR="009969A7" w:rsidRPr="00FF17C8" w:rsidRDefault="00000000" w:rsidP="00D922C1">
            <w:pPr>
              <w:bidi/>
            </w:pPr>
            <w:r>
              <w:rPr>
                <w:rtl/>
                <w:lang w:val="ar"/>
              </w:rPr>
              <w:t>تشرين الثاني/نوفمبر-كانون الأول/ديسمبر: صياغة وتصميم حملة على مدى 8 أسابيع حول إعادة إطلاق العلامة</w:t>
            </w:r>
          </w:p>
        </w:tc>
      </w:tr>
      <w:tr w:rsidR="00D56989" w14:paraId="608AE0B9" w14:textId="77777777" w:rsidTr="0EB92256">
        <w:tc>
          <w:tcPr>
            <w:tcW w:w="2470" w:type="dxa"/>
          </w:tcPr>
          <w:p w14:paraId="22FB4DBA" w14:textId="77777777" w:rsidR="009969A7" w:rsidRDefault="00000000" w:rsidP="00D922C1">
            <w:pPr>
              <w:bidi/>
              <w:rPr>
                <w:b/>
                <w:bCs/>
              </w:rPr>
            </w:pPr>
            <w:r>
              <w:rPr>
                <w:b/>
                <w:bCs/>
                <w:rtl/>
                <w:lang w:val="ar"/>
              </w:rPr>
              <w:t>المرحلة الخامسة: حملة الإطلاق الرسمي</w:t>
            </w:r>
          </w:p>
        </w:tc>
        <w:tc>
          <w:tcPr>
            <w:tcW w:w="6180" w:type="dxa"/>
          </w:tcPr>
          <w:p w14:paraId="1DE1B017" w14:textId="77777777" w:rsidR="009969A7" w:rsidRDefault="00000000" w:rsidP="00D922C1">
            <w:pPr>
              <w:bidi/>
              <w:rPr>
                <w:b/>
                <w:bCs/>
              </w:rPr>
            </w:pPr>
            <w:r>
              <w:rPr>
                <w:b/>
                <w:bCs/>
                <w:rtl/>
                <w:lang w:val="ar"/>
              </w:rPr>
              <w:t>الربع الأول من عام 2024</w:t>
            </w:r>
          </w:p>
          <w:p w14:paraId="762D1BD3" w14:textId="77777777" w:rsidR="004318F0" w:rsidRDefault="004318F0" w:rsidP="00D922C1">
            <w:pPr>
              <w:bidi/>
              <w:rPr>
                <w:b/>
                <w:bCs/>
              </w:rPr>
            </w:pPr>
          </w:p>
          <w:p w14:paraId="51450984" w14:textId="4151370B" w:rsidR="004318F0" w:rsidRPr="00FF17C8" w:rsidRDefault="00000000" w:rsidP="00D922C1">
            <w:pPr>
              <w:bidi/>
            </w:pPr>
            <w:r w:rsidRPr="000D37AB">
              <w:rPr>
                <w:rtl/>
                <w:lang w:val="ar"/>
              </w:rPr>
              <w:t>كانون الثاني/يناير-شباط/فبراير: بدء حملة إعادة الإطلاق</w:t>
            </w:r>
          </w:p>
        </w:tc>
      </w:tr>
    </w:tbl>
    <w:p w14:paraId="0292429E" w14:textId="77777777" w:rsidR="00227119" w:rsidRDefault="00227119" w:rsidP="00D922C1">
      <w:pPr>
        <w:bidi/>
        <w:rPr>
          <w:b/>
          <w:bCs/>
        </w:rPr>
      </w:pPr>
    </w:p>
    <w:p w14:paraId="40126776" w14:textId="77777777" w:rsidR="00B52958" w:rsidRPr="00227119" w:rsidRDefault="00000000" w:rsidP="00D922C1">
      <w:pPr>
        <w:pStyle w:val="ListParagraph"/>
        <w:numPr>
          <w:ilvl w:val="0"/>
          <w:numId w:val="1"/>
        </w:numPr>
        <w:bidi/>
        <w:rPr>
          <w:b/>
          <w:bCs/>
        </w:rPr>
      </w:pPr>
      <w:r w:rsidRPr="00227119">
        <w:rPr>
          <w:b/>
          <w:bCs/>
          <w:rtl/>
          <w:lang w:val="ar"/>
        </w:rPr>
        <w:t>الميزانية</w:t>
      </w:r>
    </w:p>
    <w:p w14:paraId="1D17FF53" w14:textId="77777777" w:rsidR="00227119" w:rsidRDefault="00227119" w:rsidP="00D922C1">
      <w:pPr>
        <w:bidi/>
        <w:ind w:left="360"/>
        <w:rPr>
          <w:b/>
          <w:bCs/>
        </w:rPr>
      </w:pPr>
    </w:p>
    <w:p w14:paraId="3CAADB62" w14:textId="77777777" w:rsidR="00227119" w:rsidRDefault="00000000" w:rsidP="00D922C1">
      <w:pPr>
        <w:pStyle w:val="ListParagraph"/>
        <w:numPr>
          <w:ilvl w:val="0"/>
          <w:numId w:val="4"/>
        </w:numPr>
        <w:bidi/>
      </w:pPr>
      <w:r>
        <w:rPr>
          <w:rtl/>
          <w:lang w:val="ar"/>
        </w:rPr>
        <w:t>حد أقصى قدره $650,000 بما يشمل ضريبة القيمة المضافة والضريبة إن كان هذا منطبقاً.</w:t>
      </w:r>
    </w:p>
    <w:p w14:paraId="01AF1C57" w14:textId="77777777" w:rsidR="001312DF" w:rsidRDefault="00000000" w:rsidP="00D922C1">
      <w:pPr>
        <w:pStyle w:val="ListParagraph"/>
        <w:numPr>
          <w:ilvl w:val="0"/>
          <w:numId w:val="4"/>
        </w:numPr>
        <w:bidi/>
      </w:pPr>
      <w:r>
        <w:rPr>
          <w:rtl/>
          <w:lang w:val="ar"/>
        </w:rPr>
        <w:t>سوف يُتفق على شروط السداد مع الوكالة الناجحة.</w:t>
      </w:r>
    </w:p>
    <w:p w14:paraId="35DEF200" w14:textId="77777777" w:rsidR="0053118F" w:rsidRDefault="0053118F" w:rsidP="00D922C1">
      <w:pPr>
        <w:bidi/>
        <w:ind w:left="360"/>
      </w:pPr>
    </w:p>
    <w:p w14:paraId="44F6ACEA" w14:textId="77777777" w:rsidR="0053118F" w:rsidRDefault="00000000" w:rsidP="00D922C1">
      <w:pPr>
        <w:pStyle w:val="ListParagraph"/>
        <w:numPr>
          <w:ilvl w:val="0"/>
          <w:numId w:val="1"/>
        </w:numPr>
        <w:bidi/>
        <w:rPr>
          <w:b/>
          <w:bCs/>
        </w:rPr>
      </w:pPr>
      <w:r w:rsidRPr="0053118F">
        <w:rPr>
          <w:b/>
          <w:bCs/>
          <w:rtl/>
          <w:lang w:val="ar"/>
        </w:rPr>
        <w:t>متطلبات الوكالة</w:t>
      </w:r>
    </w:p>
    <w:p w14:paraId="46545F5B" w14:textId="77777777" w:rsidR="00807746" w:rsidRDefault="00807746" w:rsidP="00D922C1">
      <w:pPr>
        <w:pStyle w:val="ListParagraph"/>
        <w:bidi/>
        <w:rPr>
          <w:b/>
          <w:bCs/>
        </w:rPr>
      </w:pPr>
    </w:p>
    <w:p w14:paraId="2DDAF170" w14:textId="72859510" w:rsidR="0053118F" w:rsidRPr="0082293B" w:rsidRDefault="00000000" w:rsidP="00D922C1">
      <w:pPr>
        <w:pStyle w:val="ListParagraph"/>
        <w:numPr>
          <w:ilvl w:val="0"/>
          <w:numId w:val="4"/>
        </w:numPr>
        <w:bidi/>
      </w:pPr>
      <w:r w:rsidRPr="0082293B">
        <w:rPr>
          <w:rtl/>
          <w:lang w:val="ar"/>
        </w:rPr>
        <w:t xml:space="preserve">يجب أن تكون وكالة إبداعية </w:t>
      </w:r>
      <w:r w:rsidR="00FF17C8">
        <w:rPr>
          <w:rFonts w:hint="cs"/>
          <w:rtl/>
          <w:lang w:val="ar"/>
        </w:rPr>
        <w:t>قائمة</w:t>
      </w:r>
      <w:r w:rsidRPr="0082293B">
        <w:rPr>
          <w:rtl/>
          <w:lang w:val="ar"/>
        </w:rPr>
        <w:t xml:space="preserve"> لمدة لا تقل عن 10 سنوات.</w:t>
      </w:r>
    </w:p>
    <w:p w14:paraId="436D2530" w14:textId="77777777" w:rsidR="00171527" w:rsidRPr="0082293B" w:rsidRDefault="00000000" w:rsidP="00D922C1">
      <w:pPr>
        <w:pStyle w:val="ListParagraph"/>
        <w:numPr>
          <w:ilvl w:val="0"/>
          <w:numId w:val="4"/>
        </w:numPr>
        <w:bidi/>
      </w:pPr>
      <w:r>
        <w:rPr>
          <w:rtl/>
          <w:lang w:val="ar"/>
        </w:rPr>
        <w:t>سوف تُمنح الأولوية إلى الوكالات الموجودة في الجنوب العالمي. يجب أن يكون لدى جميع الوكالات المتقدمة مكتب عالمي موجود في مواقع جغرافية متعددة.</w:t>
      </w:r>
    </w:p>
    <w:p w14:paraId="4D387190" w14:textId="77777777" w:rsidR="0082293B" w:rsidRDefault="00000000" w:rsidP="00D922C1">
      <w:pPr>
        <w:pStyle w:val="ListParagraph"/>
        <w:numPr>
          <w:ilvl w:val="0"/>
          <w:numId w:val="4"/>
        </w:numPr>
        <w:bidi/>
      </w:pPr>
      <w:r w:rsidRPr="00D74CC4">
        <w:rPr>
          <w:rtl/>
          <w:lang w:val="ar"/>
        </w:rPr>
        <w:lastRenderedPageBreak/>
        <w:t>تستطيع أن تعرض بوضوح دراستي حالة على الأقل لإعادة إطلاق على المستوى العالمي (لا تحتاج أن تكون منظمة غير حكومية دولية لكن إن كان لديها خبرة عمل مع منظمات غير ربحية، سيكون هذا أمراً مثالياً).</w:t>
      </w:r>
    </w:p>
    <w:p w14:paraId="096973F6" w14:textId="5275C2A6" w:rsidR="008F4793" w:rsidRDefault="00000000" w:rsidP="00D922C1">
      <w:pPr>
        <w:pStyle w:val="ListParagraph"/>
        <w:numPr>
          <w:ilvl w:val="0"/>
          <w:numId w:val="4"/>
        </w:numPr>
        <w:bidi/>
      </w:pPr>
      <w:r>
        <w:rPr>
          <w:rtl/>
          <w:lang w:val="ar"/>
        </w:rPr>
        <w:t>يجب أن يكون لديها خبرة مُثبتة في مجال البحث ومشاورات مجموعات التركيز.</w:t>
      </w:r>
    </w:p>
    <w:p w14:paraId="2D926542" w14:textId="77777777" w:rsidR="00D74CC4" w:rsidRDefault="00000000" w:rsidP="00D922C1">
      <w:pPr>
        <w:pStyle w:val="ListParagraph"/>
        <w:numPr>
          <w:ilvl w:val="0"/>
          <w:numId w:val="4"/>
        </w:numPr>
        <w:bidi/>
      </w:pPr>
      <w:r>
        <w:rPr>
          <w:rtl/>
          <w:lang w:val="ar"/>
        </w:rPr>
        <w:t>يجب أن تلتزم بمدونة السلوك الخاصة بالاتحاد الدولي لتنظيم الأسرة وسياسة الحماية</w:t>
      </w:r>
    </w:p>
    <w:p w14:paraId="644353FD" w14:textId="77777777" w:rsidR="008F4793" w:rsidRDefault="00000000" w:rsidP="00D922C1">
      <w:pPr>
        <w:pStyle w:val="ListParagraph"/>
        <w:numPr>
          <w:ilvl w:val="0"/>
          <w:numId w:val="4"/>
        </w:numPr>
        <w:bidi/>
      </w:pPr>
      <w:r>
        <w:rPr>
          <w:rtl/>
          <w:lang w:val="ar"/>
        </w:rPr>
        <w:t>تستطيع أن تعمل باستخدام اللغات الرئيسة في الاتحاد الدولي لتنظيم الأسرة وهي الإنكليزية والفرنسية والإسبانية والعربية عندما يُطلب منها.</w:t>
      </w:r>
    </w:p>
    <w:p w14:paraId="05FA07E6" w14:textId="77777777" w:rsidR="00B16522" w:rsidRDefault="00B16522" w:rsidP="00D922C1">
      <w:pPr>
        <w:bidi/>
      </w:pPr>
    </w:p>
    <w:p w14:paraId="640DC71D" w14:textId="77777777" w:rsidR="00B16522" w:rsidRDefault="00000000" w:rsidP="00D922C1">
      <w:pPr>
        <w:pStyle w:val="ListParagraph"/>
        <w:numPr>
          <w:ilvl w:val="0"/>
          <w:numId w:val="1"/>
        </w:numPr>
        <w:bidi/>
        <w:rPr>
          <w:b/>
          <w:bCs/>
        </w:rPr>
      </w:pPr>
      <w:r w:rsidRPr="00807746">
        <w:rPr>
          <w:b/>
          <w:bCs/>
          <w:rtl/>
          <w:lang w:val="ar"/>
        </w:rPr>
        <w:t>كيفية التقدّم</w:t>
      </w:r>
    </w:p>
    <w:p w14:paraId="7F9C8517" w14:textId="77777777" w:rsidR="00807746" w:rsidRDefault="00807746" w:rsidP="00D922C1">
      <w:pPr>
        <w:bidi/>
        <w:rPr>
          <w:b/>
          <w:bCs/>
        </w:rPr>
      </w:pPr>
    </w:p>
    <w:p w14:paraId="32AAB03A" w14:textId="77777777" w:rsidR="00807746" w:rsidRPr="004F3BEA" w:rsidRDefault="00000000" w:rsidP="00D922C1">
      <w:pPr>
        <w:bidi/>
      </w:pPr>
      <w:r>
        <w:rPr>
          <w:rtl/>
          <w:lang w:val="ar"/>
        </w:rPr>
        <w:t xml:space="preserve">يرجى إرسال تفصيلاً لمقاربتكم مع اقتراح مذكور فيه التكاليف مع ذكر المعلومات ذات الصلة حول وكالتكم مع الأخذ في الاعتبار متطلبات الوكالة إلى أمينة خان، وهي المديرة العالمية للاتصالات والشؤون الرقمية، عبر البريد الإلكتروني  </w:t>
      </w:r>
      <w:hyperlink r:id="rId8" w:history="1">
        <w:r w:rsidR="008F4793" w:rsidRPr="00631617">
          <w:rPr>
            <w:rStyle w:val="Hyperlink"/>
            <w:rtl/>
            <w:lang w:val="ar"/>
          </w:rPr>
          <w:t>rebrand@ippf.org</w:t>
        </w:r>
      </w:hyperlink>
      <w:r>
        <w:rPr>
          <w:rtl/>
          <w:lang w:val="ar"/>
        </w:rPr>
        <w:t xml:space="preserve"> </w:t>
      </w:r>
    </w:p>
    <w:p w14:paraId="59377810" w14:textId="77777777" w:rsidR="00753A23" w:rsidRDefault="00753A23" w:rsidP="00D922C1">
      <w:pPr>
        <w:bidi/>
        <w:rPr>
          <w:b/>
          <w:bCs/>
        </w:rPr>
      </w:pPr>
    </w:p>
    <w:p w14:paraId="4005D33B" w14:textId="4005AD9C" w:rsidR="00753A23" w:rsidRPr="00807746" w:rsidRDefault="00000000" w:rsidP="00D922C1">
      <w:pPr>
        <w:bidi/>
        <w:rPr>
          <w:b/>
          <w:bCs/>
        </w:rPr>
      </w:pPr>
      <w:r>
        <w:rPr>
          <w:b/>
          <w:bCs/>
          <w:rtl/>
          <w:lang w:val="ar"/>
        </w:rPr>
        <w:t>أقصى موعد للتقد</w:t>
      </w:r>
      <w:r w:rsidR="007C2634">
        <w:rPr>
          <w:rFonts w:hint="cs"/>
          <w:b/>
          <w:bCs/>
          <w:rtl/>
          <w:lang w:val="ar"/>
        </w:rPr>
        <w:t>ي</w:t>
      </w:r>
      <w:r>
        <w:rPr>
          <w:b/>
          <w:bCs/>
          <w:rtl/>
          <w:lang w:val="ar"/>
        </w:rPr>
        <w:t xml:space="preserve">م هو يوم الجمعة </w:t>
      </w:r>
      <w:r w:rsidR="008C615A">
        <w:rPr>
          <w:rFonts w:hint="cs"/>
          <w:b/>
          <w:bCs/>
          <w:rtl/>
          <w:lang w:val="ar"/>
        </w:rPr>
        <w:t xml:space="preserve">16 </w:t>
      </w:r>
      <w:r>
        <w:rPr>
          <w:b/>
          <w:bCs/>
          <w:rtl/>
          <w:lang w:val="ar"/>
        </w:rPr>
        <w:t>شباط/فبراير 2023.</w:t>
      </w:r>
    </w:p>
    <w:p w14:paraId="3A855AF8" w14:textId="77777777" w:rsidR="00807746" w:rsidRDefault="00807746" w:rsidP="00D922C1">
      <w:pPr>
        <w:bidi/>
        <w:rPr>
          <w:b/>
          <w:bCs/>
        </w:rPr>
      </w:pPr>
    </w:p>
    <w:p w14:paraId="28FFC273" w14:textId="77777777" w:rsidR="00807746" w:rsidRPr="00807746" w:rsidRDefault="00807746" w:rsidP="00D922C1">
      <w:pPr>
        <w:bidi/>
        <w:rPr>
          <w:b/>
          <w:bCs/>
        </w:rPr>
      </w:pPr>
    </w:p>
    <w:sectPr w:rsidR="00807746" w:rsidRPr="00807746" w:rsidSect="001603B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2D1C07"/>
    <w:multiLevelType w:val="hybridMultilevel"/>
    <w:tmpl w:val="FFFFFFFF"/>
    <w:lvl w:ilvl="0" w:tplc="26005A3E">
      <w:start w:val="1"/>
      <w:numFmt w:val="bullet"/>
      <w:lvlText w:val="•"/>
      <w:lvlJc w:val="left"/>
    </w:lvl>
    <w:lvl w:ilvl="1" w:tplc="5F4A1F4A">
      <w:numFmt w:val="decimal"/>
      <w:lvlText w:val=""/>
      <w:lvlJc w:val="left"/>
    </w:lvl>
    <w:lvl w:ilvl="2" w:tplc="9E7434A0">
      <w:numFmt w:val="decimal"/>
      <w:lvlText w:val=""/>
      <w:lvlJc w:val="left"/>
    </w:lvl>
    <w:lvl w:ilvl="3" w:tplc="385EE904">
      <w:numFmt w:val="decimal"/>
      <w:lvlText w:val=""/>
      <w:lvlJc w:val="left"/>
    </w:lvl>
    <w:lvl w:ilvl="4" w:tplc="C03C4FEC">
      <w:numFmt w:val="decimal"/>
      <w:lvlText w:val=""/>
      <w:lvlJc w:val="left"/>
    </w:lvl>
    <w:lvl w:ilvl="5" w:tplc="8FD6ABC0">
      <w:numFmt w:val="decimal"/>
      <w:lvlText w:val=""/>
      <w:lvlJc w:val="left"/>
    </w:lvl>
    <w:lvl w:ilvl="6" w:tplc="6764C822">
      <w:numFmt w:val="decimal"/>
      <w:lvlText w:val=""/>
      <w:lvlJc w:val="left"/>
    </w:lvl>
    <w:lvl w:ilvl="7" w:tplc="65C4AB70">
      <w:numFmt w:val="decimal"/>
      <w:lvlText w:val=""/>
      <w:lvlJc w:val="left"/>
    </w:lvl>
    <w:lvl w:ilvl="8" w:tplc="8F705546">
      <w:numFmt w:val="decimal"/>
      <w:lvlText w:val=""/>
      <w:lvlJc w:val="left"/>
    </w:lvl>
  </w:abstractNum>
  <w:abstractNum w:abstractNumId="1" w15:restartNumberingAfterBreak="0">
    <w:nsid w:val="4868101B"/>
    <w:multiLevelType w:val="hybridMultilevel"/>
    <w:tmpl w:val="C82CF828"/>
    <w:lvl w:ilvl="0" w:tplc="75A4AF1C">
      <w:start w:val="1"/>
      <w:numFmt w:val="bullet"/>
      <w:lvlText w:val=""/>
      <w:lvlJc w:val="left"/>
      <w:pPr>
        <w:ind w:left="1080" w:hanging="360"/>
      </w:pPr>
      <w:rPr>
        <w:rFonts w:ascii="Symbol" w:hAnsi="Symbol" w:hint="default"/>
      </w:rPr>
    </w:lvl>
    <w:lvl w:ilvl="1" w:tplc="42FAE698" w:tentative="1">
      <w:start w:val="1"/>
      <w:numFmt w:val="bullet"/>
      <w:lvlText w:val="o"/>
      <w:lvlJc w:val="left"/>
      <w:pPr>
        <w:ind w:left="1800" w:hanging="360"/>
      </w:pPr>
      <w:rPr>
        <w:rFonts w:ascii="Courier New" w:hAnsi="Courier New" w:cs="Courier New" w:hint="default"/>
      </w:rPr>
    </w:lvl>
    <w:lvl w:ilvl="2" w:tplc="E146C26A" w:tentative="1">
      <w:start w:val="1"/>
      <w:numFmt w:val="bullet"/>
      <w:lvlText w:val=""/>
      <w:lvlJc w:val="left"/>
      <w:pPr>
        <w:ind w:left="2520" w:hanging="360"/>
      </w:pPr>
      <w:rPr>
        <w:rFonts w:ascii="Wingdings" w:hAnsi="Wingdings" w:hint="default"/>
      </w:rPr>
    </w:lvl>
    <w:lvl w:ilvl="3" w:tplc="F224E974" w:tentative="1">
      <w:start w:val="1"/>
      <w:numFmt w:val="bullet"/>
      <w:lvlText w:val=""/>
      <w:lvlJc w:val="left"/>
      <w:pPr>
        <w:ind w:left="3240" w:hanging="360"/>
      </w:pPr>
      <w:rPr>
        <w:rFonts w:ascii="Symbol" w:hAnsi="Symbol" w:hint="default"/>
      </w:rPr>
    </w:lvl>
    <w:lvl w:ilvl="4" w:tplc="A7980414" w:tentative="1">
      <w:start w:val="1"/>
      <w:numFmt w:val="bullet"/>
      <w:lvlText w:val="o"/>
      <w:lvlJc w:val="left"/>
      <w:pPr>
        <w:ind w:left="3960" w:hanging="360"/>
      </w:pPr>
      <w:rPr>
        <w:rFonts w:ascii="Courier New" w:hAnsi="Courier New" w:cs="Courier New" w:hint="default"/>
      </w:rPr>
    </w:lvl>
    <w:lvl w:ilvl="5" w:tplc="D5745D70" w:tentative="1">
      <w:start w:val="1"/>
      <w:numFmt w:val="bullet"/>
      <w:lvlText w:val=""/>
      <w:lvlJc w:val="left"/>
      <w:pPr>
        <w:ind w:left="4680" w:hanging="360"/>
      </w:pPr>
      <w:rPr>
        <w:rFonts w:ascii="Wingdings" w:hAnsi="Wingdings" w:hint="default"/>
      </w:rPr>
    </w:lvl>
    <w:lvl w:ilvl="6" w:tplc="FCE47C3E" w:tentative="1">
      <w:start w:val="1"/>
      <w:numFmt w:val="bullet"/>
      <w:lvlText w:val=""/>
      <w:lvlJc w:val="left"/>
      <w:pPr>
        <w:ind w:left="5400" w:hanging="360"/>
      </w:pPr>
      <w:rPr>
        <w:rFonts w:ascii="Symbol" w:hAnsi="Symbol" w:hint="default"/>
      </w:rPr>
    </w:lvl>
    <w:lvl w:ilvl="7" w:tplc="F0408A72" w:tentative="1">
      <w:start w:val="1"/>
      <w:numFmt w:val="bullet"/>
      <w:lvlText w:val="o"/>
      <w:lvlJc w:val="left"/>
      <w:pPr>
        <w:ind w:left="6120" w:hanging="360"/>
      </w:pPr>
      <w:rPr>
        <w:rFonts w:ascii="Courier New" w:hAnsi="Courier New" w:cs="Courier New" w:hint="default"/>
      </w:rPr>
    </w:lvl>
    <w:lvl w:ilvl="8" w:tplc="97726566" w:tentative="1">
      <w:start w:val="1"/>
      <w:numFmt w:val="bullet"/>
      <w:lvlText w:val=""/>
      <w:lvlJc w:val="left"/>
      <w:pPr>
        <w:ind w:left="6840" w:hanging="360"/>
      </w:pPr>
      <w:rPr>
        <w:rFonts w:ascii="Wingdings" w:hAnsi="Wingdings" w:hint="default"/>
      </w:rPr>
    </w:lvl>
  </w:abstractNum>
  <w:abstractNum w:abstractNumId="2" w15:restartNumberingAfterBreak="0">
    <w:nsid w:val="51DA5F95"/>
    <w:multiLevelType w:val="hybridMultilevel"/>
    <w:tmpl w:val="5342A670"/>
    <w:lvl w:ilvl="0" w:tplc="EA5EB92A">
      <w:start w:val="1"/>
      <w:numFmt w:val="bullet"/>
      <w:lvlText w:val=""/>
      <w:lvlJc w:val="left"/>
      <w:pPr>
        <w:ind w:left="1080" w:hanging="360"/>
      </w:pPr>
      <w:rPr>
        <w:rFonts w:ascii="Symbol" w:hAnsi="Symbol" w:hint="default"/>
      </w:rPr>
    </w:lvl>
    <w:lvl w:ilvl="1" w:tplc="374CE87A" w:tentative="1">
      <w:start w:val="1"/>
      <w:numFmt w:val="bullet"/>
      <w:lvlText w:val="o"/>
      <w:lvlJc w:val="left"/>
      <w:pPr>
        <w:ind w:left="1800" w:hanging="360"/>
      </w:pPr>
      <w:rPr>
        <w:rFonts w:ascii="Courier New" w:hAnsi="Courier New" w:cs="Courier New" w:hint="default"/>
      </w:rPr>
    </w:lvl>
    <w:lvl w:ilvl="2" w:tplc="31F6EF92" w:tentative="1">
      <w:start w:val="1"/>
      <w:numFmt w:val="bullet"/>
      <w:lvlText w:val=""/>
      <w:lvlJc w:val="left"/>
      <w:pPr>
        <w:ind w:left="2520" w:hanging="360"/>
      </w:pPr>
      <w:rPr>
        <w:rFonts w:ascii="Wingdings" w:hAnsi="Wingdings" w:hint="default"/>
      </w:rPr>
    </w:lvl>
    <w:lvl w:ilvl="3" w:tplc="46081FA4" w:tentative="1">
      <w:start w:val="1"/>
      <w:numFmt w:val="bullet"/>
      <w:lvlText w:val=""/>
      <w:lvlJc w:val="left"/>
      <w:pPr>
        <w:ind w:left="3240" w:hanging="360"/>
      </w:pPr>
      <w:rPr>
        <w:rFonts w:ascii="Symbol" w:hAnsi="Symbol" w:hint="default"/>
      </w:rPr>
    </w:lvl>
    <w:lvl w:ilvl="4" w:tplc="1BCCA61C" w:tentative="1">
      <w:start w:val="1"/>
      <w:numFmt w:val="bullet"/>
      <w:lvlText w:val="o"/>
      <w:lvlJc w:val="left"/>
      <w:pPr>
        <w:ind w:left="3960" w:hanging="360"/>
      </w:pPr>
      <w:rPr>
        <w:rFonts w:ascii="Courier New" w:hAnsi="Courier New" w:cs="Courier New" w:hint="default"/>
      </w:rPr>
    </w:lvl>
    <w:lvl w:ilvl="5" w:tplc="3126E4E6" w:tentative="1">
      <w:start w:val="1"/>
      <w:numFmt w:val="bullet"/>
      <w:lvlText w:val=""/>
      <w:lvlJc w:val="left"/>
      <w:pPr>
        <w:ind w:left="4680" w:hanging="360"/>
      </w:pPr>
      <w:rPr>
        <w:rFonts w:ascii="Wingdings" w:hAnsi="Wingdings" w:hint="default"/>
      </w:rPr>
    </w:lvl>
    <w:lvl w:ilvl="6" w:tplc="CAD4B772" w:tentative="1">
      <w:start w:val="1"/>
      <w:numFmt w:val="bullet"/>
      <w:lvlText w:val=""/>
      <w:lvlJc w:val="left"/>
      <w:pPr>
        <w:ind w:left="5400" w:hanging="360"/>
      </w:pPr>
      <w:rPr>
        <w:rFonts w:ascii="Symbol" w:hAnsi="Symbol" w:hint="default"/>
      </w:rPr>
    </w:lvl>
    <w:lvl w:ilvl="7" w:tplc="3C388D5A" w:tentative="1">
      <w:start w:val="1"/>
      <w:numFmt w:val="bullet"/>
      <w:lvlText w:val="o"/>
      <w:lvlJc w:val="left"/>
      <w:pPr>
        <w:ind w:left="6120" w:hanging="360"/>
      </w:pPr>
      <w:rPr>
        <w:rFonts w:ascii="Courier New" w:hAnsi="Courier New" w:cs="Courier New" w:hint="default"/>
      </w:rPr>
    </w:lvl>
    <w:lvl w:ilvl="8" w:tplc="39D4E20A" w:tentative="1">
      <w:start w:val="1"/>
      <w:numFmt w:val="bullet"/>
      <w:lvlText w:val=""/>
      <w:lvlJc w:val="left"/>
      <w:pPr>
        <w:ind w:left="6840" w:hanging="360"/>
      </w:pPr>
      <w:rPr>
        <w:rFonts w:ascii="Wingdings" w:hAnsi="Wingdings" w:hint="default"/>
      </w:rPr>
    </w:lvl>
  </w:abstractNum>
  <w:abstractNum w:abstractNumId="3" w15:restartNumberingAfterBreak="0">
    <w:nsid w:val="79D231C6"/>
    <w:multiLevelType w:val="hybridMultilevel"/>
    <w:tmpl w:val="28E68ACC"/>
    <w:lvl w:ilvl="0" w:tplc="E018906C">
      <w:start w:val="1"/>
      <w:numFmt w:val="decimal"/>
      <w:lvlText w:val="%1."/>
      <w:lvlJc w:val="left"/>
      <w:pPr>
        <w:ind w:left="720" w:hanging="360"/>
      </w:pPr>
      <w:rPr>
        <w:rFonts w:hint="default"/>
      </w:rPr>
    </w:lvl>
    <w:lvl w:ilvl="1" w:tplc="E6562606" w:tentative="1">
      <w:start w:val="1"/>
      <w:numFmt w:val="lowerLetter"/>
      <w:lvlText w:val="%2."/>
      <w:lvlJc w:val="left"/>
      <w:pPr>
        <w:ind w:left="1440" w:hanging="360"/>
      </w:pPr>
    </w:lvl>
    <w:lvl w:ilvl="2" w:tplc="293AE3D2" w:tentative="1">
      <w:start w:val="1"/>
      <w:numFmt w:val="lowerRoman"/>
      <w:lvlText w:val="%3."/>
      <w:lvlJc w:val="right"/>
      <w:pPr>
        <w:ind w:left="2160" w:hanging="180"/>
      </w:pPr>
    </w:lvl>
    <w:lvl w:ilvl="3" w:tplc="AA9A8AE2" w:tentative="1">
      <w:start w:val="1"/>
      <w:numFmt w:val="decimal"/>
      <w:lvlText w:val="%4."/>
      <w:lvlJc w:val="left"/>
      <w:pPr>
        <w:ind w:left="2880" w:hanging="360"/>
      </w:pPr>
    </w:lvl>
    <w:lvl w:ilvl="4" w:tplc="6172F08A" w:tentative="1">
      <w:start w:val="1"/>
      <w:numFmt w:val="lowerLetter"/>
      <w:lvlText w:val="%5."/>
      <w:lvlJc w:val="left"/>
      <w:pPr>
        <w:ind w:left="3600" w:hanging="360"/>
      </w:pPr>
    </w:lvl>
    <w:lvl w:ilvl="5" w:tplc="9B882EBE" w:tentative="1">
      <w:start w:val="1"/>
      <w:numFmt w:val="lowerRoman"/>
      <w:lvlText w:val="%6."/>
      <w:lvlJc w:val="right"/>
      <w:pPr>
        <w:ind w:left="4320" w:hanging="180"/>
      </w:pPr>
    </w:lvl>
    <w:lvl w:ilvl="6" w:tplc="A488827C" w:tentative="1">
      <w:start w:val="1"/>
      <w:numFmt w:val="decimal"/>
      <w:lvlText w:val="%7."/>
      <w:lvlJc w:val="left"/>
      <w:pPr>
        <w:ind w:left="5040" w:hanging="360"/>
      </w:pPr>
    </w:lvl>
    <w:lvl w:ilvl="7" w:tplc="336E514A" w:tentative="1">
      <w:start w:val="1"/>
      <w:numFmt w:val="lowerLetter"/>
      <w:lvlText w:val="%8."/>
      <w:lvlJc w:val="left"/>
      <w:pPr>
        <w:ind w:left="5760" w:hanging="360"/>
      </w:pPr>
    </w:lvl>
    <w:lvl w:ilvl="8" w:tplc="11F2BFC2" w:tentative="1">
      <w:start w:val="1"/>
      <w:numFmt w:val="lowerRoman"/>
      <w:lvlText w:val="%9."/>
      <w:lvlJc w:val="right"/>
      <w:pPr>
        <w:ind w:left="6480" w:hanging="180"/>
      </w:pPr>
    </w:lvl>
  </w:abstractNum>
  <w:num w:numId="1" w16cid:durableId="1868446473">
    <w:abstractNumId w:val="3"/>
  </w:num>
  <w:num w:numId="2" w16cid:durableId="70934366">
    <w:abstractNumId w:val="2"/>
  </w:num>
  <w:num w:numId="3" w16cid:durableId="1620259926">
    <w:abstractNumId w:val="0"/>
  </w:num>
  <w:num w:numId="4" w16cid:durableId="197394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0D"/>
    <w:rsid w:val="00005034"/>
    <w:rsid w:val="00027E2B"/>
    <w:rsid w:val="000A3F1C"/>
    <w:rsid w:val="000D37AB"/>
    <w:rsid w:val="000F601F"/>
    <w:rsid w:val="001312DF"/>
    <w:rsid w:val="00133CEB"/>
    <w:rsid w:val="001603B0"/>
    <w:rsid w:val="00171527"/>
    <w:rsid w:val="0017701B"/>
    <w:rsid w:val="00227119"/>
    <w:rsid w:val="002F3196"/>
    <w:rsid w:val="0037516F"/>
    <w:rsid w:val="00381B04"/>
    <w:rsid w:val="00393F2A"/>
    <w:rsid w:val="003B4540"/>
    <w:rsid w:val="003B66CC"/>
    <w:rsid w:val="004318F0"/>
    <w:rsid w:val="00444F47"/>
    <w:rsid w:val="004E1F0D"/>
    <w:rsid w:val="004F3BEA"/>
    <w:rsid w:val="0053118F"/>
    <w:rsid w:val="00552B73"/>
    <w:rsid w:val="005752EE"/>
    <w:rsid w:val="00631617"/>
    <w:rsid w:val="007378F9"/>
    <w:rsid w:val="00753A23"/>
    <w:rsid w:val="007659D5"/>
    <w:rsid w:val="007C2634"/>
    <w:rsid w:val="00807746"/>
    <w:rsid w:val="0082293B"/>
    <w:rsid w:val="008C615A"/>
    <w:rsid w:val="008E0926"/>
    <w:rsid w:val="008F4793"/>
    <w:rsid w:val="009057D3"/>
    <w:rsid w:val="009207DE"/>
    <w:rsid w:val="009969A7"/>
    <w:rsid w:val="009A6F11"/>
    <w:rsid w:val="009E0DAA"/>
    <w:rsid w:val="00A03BC5"/>
    <w:rsid w:val="00A36828"/>
    <w:rsid w:val="00AA6590"/>
    <w:rsid w:val="00B16522"/>
    <w:rsid w:val="00B41911"/>
    <w:rsid w:val="00B45001"/>
    <w:rsid w:val="00B46044"/>
    <w:rsid w:val="00B52958"/>
    <w:rsid w:val="00BA444C"/>
    <w:rsid w:val="00BD0E2E"/>
    <w:rsid w:val="00BE1D17"/>
    <w:rsid w:val="00C22DAC"/>
    <w:rsid w:val="00CD5603"/>
    <w:rsid w:val="00D45C72"/>
    <w:rsid w:val="00D56989"/>
    <w:rsid w:val="00D74CC4"/>
    <w:rsid w:val="00D922C1"/>
    <w:rsid w:val="00DA4B3E"/>
    <w:rsid w:val="00DD581E"/>
    <w:rsid w:val="00E37016"/>
    <w:rsid w:val="00E519C1"/>
    <w:rsid w:val="00E60F66"/>
    <w:rsid w:val="00EC7BBE"/>
    <w:rsid w:val="00FF17C8"/>
    <w:rsid w:val="0283C785"/>
    <w:rsid w:val="032A0E8B"/>
    <w:rsid w:val="0344D517"/>
    <w:rsid w:val="04CE7811"/>
    <w:rsid w:val="06074FA2"/>
    <w:rsid w:val="0712E8DE"/>
    <w:rsid w:val="07B100DB"/>
    <w:rsid w:val="099A6150"/>
    <w:rsid w:val="0CF6666F"/>
    <w:rsid w:val="0E3AD9FF"/>
    <w:rsid w:val="0EB35650"/>
    <w:rsid w:val="0EB92256"/>
    <w:rsid w:val="0F24BDD3"/>
    <w:rsid w:val="0FCC1FA2"/>
    <w:rsid w:val="103CF94A"/>
    <w:rsid w:val="108D2D34"/>
    <w:rsid w:val="12670418"/>
    <w:rsid w:val="13B49688"/>
    <w:rsid w:val="1412336E"/>
    <w:rsid w:val="14359E01"/>
    <w:rsid w:val="1467E336"/>
    <w:rsid w:val="1727B05C"/>
    <w:rsid w:val="1728701B"/>
    <w:rsid w:val="19B440CE"/>
    <w:rsid w:val="1B3D6DFA"/>
    <w:rsid w:val="1C92A93D"/>
    <w:rsid w:val="1D4D2B0A"/>
    <w:rsid w:val="20C797AC"/>
    <w:rsid w:val="21FC74CC"/>
    <w:rsid w:val="223C6962"/>
    <w:rsid w:val="22B3A586"/>
    <w:rsid w:val="2563E91B"/>
    <w:rsid w:val="258843F0"/>
    <w:rsid w:val="25D5DD8C"/>
    <w:rsid w:val="267C2492"/>
    <w:rsid w:val="2696EB1E"/>
    <w:rsid w:val="26C35BB2"/>
    <w:rsid w:val="27813C28"/>
    <w:rsid w:val="2C270CAC"/>
    <w:rsid w:val="2D4EE237"/>
    <w:rsid w:val="32AC4138"/>
    <w:rsid w:val="32C958CF"/>
    <w:rsid w:val="331E35A9"/>
    <w:rsid w:val="34367120"/>
    <w:rsid w:val="3477897D"/>
    <w:rsid w:val="356B3B34"/>
    <w:rsid w:val="400422E6"/>
    <w:rsid w:val="417EC93D"/>
    <w:rsid w:val="45E8479C"/>
    <w:rsid w:val="45E9075B"/>
    <w:rsid w:val="46DC283E"/>
    <w:rsid w:val="46F6EECA"/>
    <w:rsid w:val="48DA59F7"/>
    <w:rsid w:val="49444CBB"/>
    <w:rsid w:val="49CE3A99"/>
    <w:rsid w:val="49E90125"/>
    <w:rsid w:val="4B29DC81"/>
    <w:rsid w:val="4B72A41F"/>
    <w:rsid w:val="4BC2D809"/>
    <w:rsid w:val="4C961C91"/>
    <w:rsid w:val="4CAB7BB0"/>
    <w:rsid w:val="4DC7E714"/>
    <w:rsid w:val="5084440C"/>
    <w:rsid w:val="537E804D"/>
    <w:rsid w:val="55C42BBB"/>
    <w:rsid w:val="57315942"/>
    <w:rsid w:val="57888727"/>
    <w:rsid w:val="5AB9CEF5"/>
    <w:rsid w:val="5B983D53"/>
    <w:rsid w:val="5C0F7977"/>
    <w:rsid w:val="5C531756"/>
    <w:rsid w:val="5CE5E628"/>
    <w:rsid w:val="5F31B17D"/>
    <w:rsid w:val="5F57271B"/>
    <w:rsid w:val="6004F605"/>
    <w:rsid w:val="61CC95F3"/>
    <w:rsid w:val="635638ED"/>
    <w:rsid w:val="673C2BEA"/>
    <w:rsid w:val="6749CDE4"/>
    <w:rsid w:val="6900CD58"/>
    <w:rsid w:val="699DF773"/>
    <w:rsid w:val="6AA032B6"/>
    <w:rsid w:val="6B614048"/>
    <w:rsid w:val="6D3B172C"/>
    <w:rsid w:val="6EC4BA26"/>
    <w:rsid w:val="6F14EE10"/>
    <w:rsid w:val="7207006B"/>
    <w:rsid w:val="739CBD1D"/>
    <w:rsid w:val="759CBF7E"/>
    <w:rsid w:val="75A26DAA"/>
    <w:rsid w:val="78C17975"/>
    <w:rsid w:val="7E38E27E"/>
    <w:rsid w:val="7F44D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7E70"/>
  <w14:defaultImageDpi w14:val="32767"/>
  <w15:chartTrackingRefBased/>
  <w15:docId w15:val="{85F987DC-207B-4956-8188-586DC84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540"/>
    <w:rPr>
      <w:color w:val="0563C1" w:themeColor="hyperlink"/>
      <w:u w:val="single"/>
    </w:rPr>
  </w:style>
  <w:style w:type="character" w:customStyle="1" w:styleId="UnresolvedMention1">
    <w:name w:val="Unresolved Mention1"/>
    <w:basedOn w:val="DefaultParagraphFont"/>
    <w:uiPriority w:val="99"/>
    <w:rsid w:val="003B4540"/>
    <w:rPr>
      <w:color w:val="605E5C"/>
      <w:shd w:val="clear" w:color="auto" w:fill="E1DFDD"/>
    </w:rPr>
  </w:style>
  <w:style w:type="paragraph" w:styleId="ListParagraph">
    <w:name w:val="List Paragraph"/>
    <w:basedOn w:val="Normal"/>
    <w:uiPriority w:val="34"/>
    <w:qFormat/>
    <w:rsid w:val="003B4540"/>
    <w:pPr>
      <w:ind w:left="720"/>
      <w:contextualSpacing/>
    </w:pPr>
  </w:style>
  <w:style w:type="paragraph" w:customStyle="1" w:styleId="Default">
    <w:name w:val="Default"/>
    <w:rsid w:val="00B41911"/>
    <w:pPr>
      <w:autoSpaceDE w:val="0"/>
      <w:autoSpaceDN w:val="0"/>
      <w:adjustRightInd w:val="0"/>
    </w:pPr>
    <w:rPr>
      <w:rFonts w:ascii="Century Gothic" w:hAnsi="Century Gothic" w:cs="Century Gothic"/>
      <w:color w:val="000000"/>
    </w:rPr>
  </w:style>
  <w:style w:type="table" w:styleId="TableGrid">
    <w:name w:val="Table Grid"/>
    <w:basedOn w:val="TableNormal"/>
    <w:uiPriority w:val="39"/>
    <w:rsid w:val="00B4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rand@ippf.org" TargetMode="External"/><Relationship Id="rId3" Type="http://schemas.openxmlformats.org/officeDocument/2006/relationships/styles" Target="styles.xml"/><Relationship Id="rId7" Type="http://schemas.openxmlformats.org/officeDocument/2006/relationships/hyperlink" Target="https://www.ippf.org/resource/2023-2028-strate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5A76-F264-3A4E-9C44-9A9FCA1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Khan</dc:creator>
  <cp:lastModifiedBy>Amina Khan</cp:lastModifiedBy>
  <cp:revision>7</cp:revision>
  <dcterms:created xsi:type="dcterms:W3CDTF">2023-01-25T11:06:00Z</dcterms:created>
  <dcterms:modified xsi:type="dcterms:W3CDTF">2023-01-31T11:31:00Z</dcterms:modified>
</cp:coreProperties>
</file>